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E54" w:rsidRPr="00ED2E54" w:rsidRDefault="00ED2E54" w:rsidP="00F37026">
      <w:pPr>
        <w:tabs>
          <w:tab w:val="left" w:pos="426"/>
        </w:tabs>
        <w:spacing w:after="120" w:line="360" w:lineRule="auto"/>
        <w:jc w:val="both"/>
        <w:outlineLvl w:val="0"/>
        <w:rPr>
          <w:rFonts w:ascii="Arial" w:eastAsia="Calibri" w:hAnsi="Arial" w:cs="Arial"/>
          <w:b/>
          <w:sz w:val="22"/>
          <w:szCs w:val="22"/>
        </w:rPr>
      </w:pPr>
      <w:r w:rsidRPr="00ED2E54">
        <w:rPr>
          <w:rFonts w:ascii="Arial" w:eastAsia="Calibri" w:hAnsi="Arial" w:cs="Arial"/>
          <w:b/>
          <w:sz w:val="22"/>
          <w:szCs w:val="22"/>
        </w:rPr>
        <w:t>THE BETTER GOVERNMENT INITIATIVE</w:t>
      </w:r>
    </w:p>
    <w:p w:rsidR="00ED2E54" w:rsidRPr="00ED2E54" w:rsidRDefault="00ED2E54" w:rsidP="00F37026">
      <w:pPr>
        <w:tabs>
          <w:tab w:val="left" w:pos="426"/>
        </w:tabs>
        <w:spacing w:after="120" w:line="360" w:lineRule="auto"/>
        <w:jc w:val="both"/>
        <w:outlineLvl w:val="0"/>
        <w:rPr>
          <w:rFonts w:ascii="Arial" w:eastAsia="Calibri" w:hAnsi="Arial" w:cs="Arial"/>
          <w:b/>
          <w:sz w:val="22"/>
          <w:szCs w:val="22"/>
        </w:rPr>
      </w:pPr>
      <w:r w:rsidRPr="00ED2E54">
        <w:rPr>
          <w:rFonts w:ascii="Arial" w:eastAsia="Calibri" w:hAnsi="Arial" w:cs="Arial"/>
          <w:b/>
          <w:sz w:val="22"/>
          <w:szCs w:val="22"/>
        </w:rPr>
        <w:t>Executive Committee</w:t>
      </w:r>
    </w:p>
    <w:p w:rsidR="00ED2E54" w:rsidRPr="00ED2E54" w:rsidRDefault="00ED2E54" w:rsidP="00F37026">
      <w:pPr>
        <w:tabs>
          <w:tab w:val="left" w:pos="426"/>
        </w:tabs>
        <w:spacing w:after="120" w:line="360" w:lineRule="auto"/>
        <w:jc w:val="both"/>
        <w:outlineLvl w:val="0"/>
        <w:rPr>
          <w:rFonts w:ascii="Arial" w:eastAsia="Calibri" w:hAnsi="Arial" w:cs="Arial"/>
          <w:b/>
          <w:sz w:val="22"/>
          <w:szCs w:val="22"/>
        </w:rPr>
      </w:pPr>
      <w:r w:rsidRPr="00ED2E54">
        <w:rPr>
          <w:rFonts w:ascii="Arial" w:eastAsia="Calibri" w:hAnsi="Arial" w:cs="Arial"/>
          <w:b/>
          <w:sz w:val="22"/>
          <w:szCs w:val="22"/>
        </w:rPr>
        <w:t xml:space="preserve">Minutes of the Meeting held </w:t>
      </w:r>
      <w:r w:rsidR="009309BF">
        <w:rPr>
          <w:rFonts w:ascii="Arial" w:eastAsia="Calibri" w:hAnsi="Arial" w:cs="Arial"/>
          <w:b/>
          <w:sz w:val="22"/>
          <w:szCs w:val="22"/>
        </w:rPr>
        <w:t xml:space="preserve">at </w:t>
      </w:r>
      <w:r w:rsidR="00E317B0">
        <w:rPr>
          <w:rFonts w:ascii="Arial" w:eastAsia="Calibri" w:hAnsi="Arial" w:cs="Arial"/>
          <w:b/>
          <w:sz w:val="22"/>
          <w:szCs w:val="22"/>
        </w:rPr>
        <w:t xml:space="preserve">the </w:t>
      </w:r>
      <w:r w:rsidR="00B44530">
        <w:rPr>
          <w:rFonts w:ascii="Arial" w:eastAsia="Calibri" w:hAnsi="Arial" w:cs="Arial"/>
          <w:b/>
          <w:sz w:val="22"/>
          <w:szCs w:val="22"/>
        </w:rPr>
        <w:t>Fabian Society</w:t>
      </w:r>
      <w:r w:rsidRPr="00ED2E54">
        <w:rPr>
          <w:rFonts w:ascii="Arial" w:eastAsia="Calibri" w:hAnsi="Arial" w:cs="Arial"/>
          <w:b/>
          <w:sz w:val="22"/>
          <w:szCs w:val="22"/>
        </w:rPr>
        <w:t xml:space="preserve"> on </w:t>
      </w:r>
      <w:r w:rsidR="00B44530">
        <w:rPr>
          <w:rFonts w:ascii="Arial" w:eastAsia="Calibri" w:hAnsi="Arial" w:cs="Arial"/>
          <w:b/>
          <w:sz w:val="22"/>
          <w:szCs w:val="22"/>
        </w:rPr>
        <w:t>3</w:t>
      </w:r>
      <w:r w:rsidR="00B44530" w:rsidRPr="00B44530">
        <w:rPr>
          <w:rFonts w:ascii="Arial" w:eastAsia="Calibri" w:hAnsi="Arial" w:cs="Arial"/>
          <w:b/>
          <w:sz w:val="22"/>
          <w:szCs w:val="22"/>
          <w:vertAlign w:val="superscript"/>
        </w:rPr>
        <w:t>rd</w:t>
      </w:r>
      <w:r w:rsidR="00B44530">
        <w:rPr>
          <w:rFonts w:ascii="Arial" w:eastAsia="Calibri" w:hAnsi="Arial" w:cs="Arial"/>
          <w:b/>
          <w:sz w:val="22"/>
          <w:szCs w:val="22"/>
        </w:rPr>
        <w:t xml:space="preserve"> November</w:t>
      </w:r>
      <w:r w:rsidRPr="00ED2E54">
        <w:rPr>
          <w:rFonts w:ascii="Arial" w:eastAsia="Calibri" w:hAnsi="Arial" w:cs="Arial"/>
          <w:b/>
          <w:sz w:val="22"/>
          <w:szCs w:val="22"/>
        </w:rPr>
        <w:t xml:space="preserve"> 201</w:t>
      </w:r>
      <w:r w:rsidR="00923AF5">
        <w:rPr>
          <w:rFonts w:ascii="Arial" w:eastAsia="Calibri" w:hAnsi="Arial" w:cs="Arial"/>
          <w:b/>
          <w:sz w:val="22"/>
          <w:szCs w:val="22"/>
        </w:rPr>
        <w:t>5</w:t>
      </w:r>
    </w:p>
    <w:p w:rsidR="00D60C5E" w:rsidRDefault="00D60C5E" w:rsidP="00F37026">
      <w:pPr>
        <w:tabs>
          <w:tab w:val="left" w:pos="426"/>
          <w:tab w:val="left" w:pos="1560"/>
        </w:tabs>
        <w:jc w:val="both"/>
        <w:rPr>
          <w:rFonts w:ascii="Arial" w:eastAsia="Calibri" w:hAnsi="Arial" w:cs="Arial"/>
          <w:b/>
          <w:sz w:val="22"/>
          <w:szCs w:val="22"/>
          <w:u w:val="single"/>
        </w:rPr>
      </w:pPr>
    </w:p>
    <w:p w:rsidR="00ED2E54" w:rsidRDefault="00ED2E54" w:rsidP="00F37026">
      <w:pPr>
        <w:tabs>
          <w:tab w:val="left" w:pos="426"/>
          <w:tab w:val="left" w:pos="1560"/>
        </w:tabs>
        <w:jc w:val="both"/>
        <w:rPr>
          <w:rFonts w:ascii="Arial" w:eastAsia="Calibri" w:hAnsi="Arial" w:cs="Arial"/>
          <w:sz w:val="22"/>
          <w:szCs w:val="22"/>
        </w:rPr>
      </w:pPr>
      <w:r w:rsidRPr="00ED2E54">
        <w:rPr>
          <w:rFonts w:ascii="Arial" w:eastAsia="Calibri" w:hAnsi="Arial" w:cs="Arial"/>
          <w:b/>
          <w:sz w:val="22"/>
          <w:szCs w:val="22"/>
          <w:u w:val="single"/>
        </w:rPr>
        <w:t>Present:</w:t>
      </w:r>
      <w:r w:rsidRPr="00ED2E54">
        <w:rPr>
          <w:rFonts w:ascii="Arial" w:eastAsia="Calibri" w:hAnsi="Arial" w:cs="Arial"/>
          <w:sz w:val="22"/>
          <w:szCs w:val="22"/>
        </w:rPr>
        <w:tab/>
      </w:r>
      <w:r w:rsidRPr="00ED2E54">
        <w:rPr>
          <w:rFonts w:ascii="Arial" w:eastAsia="Calibri" w:hAnsi="Arial" w:cs="Arial"/>
          <w:sz w:val="22"/>
          <w:szCs w:val="22"/>
        </w:rPr>
        <w:tab/>
        <w:t>Richard Mottram (Chair</w:t>
      </w:r>
      <w:r w:rsidR="006C3D18">
        <w:rPr>
          <w:rFonts w:ascii="Arial" w:eastAsia="Calibri" w:hAnsi="Arial" w:cs="Arial"/>
          <w:sz w:val="22"/>
          <w:szCs w:val="22"/>
        </w:rPr>
        <w:t>)</w:t>
      </w:r>
    </w:p>
    <w:p w:rsidR="00B44530" w:rsidRDefault="006C3D18" w:rsidP="00F37026">
      <w:pPr>
        <w:tabs>
          <w:tab w:val="left" w:pos="426"/>
          <w:tab w:val="left" w:pos="1560"/>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B44530">
        <w:rPr>
          <w:rFonts w:ascii="Arial" w:eastAsia="Calibri" w:hAnsi="Arial" w:cs="Arial"/>
          <w:sz w:val="22"/>
          <w:szCs w:val="22"/>
        </w:rPr>
        <w:t>Paul Britton</w:t>
      </w:r>
    </w:p>
    <w:p w:rsidR="004A64C6" w:rsidRDefault="00B44530" w:rsidP="00F37026">
      <w:pPr>
        <w:tabs>
          <w:tab w:val="left" w:pos="426"/>
          <w:tab w:val="left" w:pos="1560"/>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4A64C6">
        <w:rPr>
          <w:rFonts w:ascii="Arial" w:eastAsia="Calibri" w:hAnsi="Arial" w:cs="Arial"/>
          <w:sz w:val="22"/>
          <w:szCs w:val="22"/>
        </w:rPr>
        <w:t>Robin Butler</w:t>
      </w:r>
    </w:p>
    <w:p w:rsidR="00F45140" w:rsidRDefault="004A64C6" w:rsidP="00F37026">
      <w:pPr>
        <w:tabs>
          <w:tab w:val="left" w:pos="426"/>
          <w:tab w:val="left" w:pos="1560"/>
        </w:tabs>
        <w:jc w:val="both"/>
        <w:rPr>
          <w:rFonts w:ascii="Arial"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C04DAF">
        <w:rPr>
          <w:rFonts w:ascii="Arial" w:eastAsia="Calibri" w:hAnsi="Arial" w:cs="Arial"/>
          <w:sz w:val="22"/>
          <w:szCs w:val="22"/>
        </w:rPr>
        <w:t>Roger Dawe</w:t>
      </w:r>
      <w:r w:rsidR="00ED2E54" w:rsidRPr="00ED2E54">
        <w:rPr>
          <w:rFonts w:ascii="Arial" w:hAnsi="Arial" w:cs="Arial"/>
          <w:sz w:val="22"/>
          <w:szCs w:val="22"/>
        </w:rPr>
        <w:t xml:space="preserve"> </w:t>
      </w:r>
      <w:r w:rsidR="00ED2E54" w:rsidRPr="00ED2E54">
        <w:rPr>
          <w:rFonts w:ascii="Arial" w:hAnsi="Arial" w:cs="Arial"/>
          <w:sz w:val="22"/>
          <w:szCs w:val="22"/>
        </w:rPr>
        <w:tab/>
      </w:r>
    </w:p>
    <w:p w:rsidR="00ED2E54" w:rsidRDefault="00F45140" w:rsidP="00F37026">
      <w:pPr>
        <w:tabs>
          <w:tab w:val="left" w:pos="426"/>
          <w:tab w:val="left" w:pos="1067"/>
        </w:tabs>
        <w:jc w:val="both"/>
        <w:rPr>
          <w:rFonts w:ascii="Arial" w:eastAsia="Calibri"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C3D18" w:rsidRPr="00ED2E54">
        <w:rPr>
          <w:rFonts w:ascii="Arial" w:eastAsia="Calibri" w:hAnsi="Arial" w:cs="Arial"/>
          <w:sz w:val="22"/>
          <w:szCs w:val="22"/>
        </w:rPr>
        <w:t>Christopher Foster</w:t>
      </w:r>
    </w:p>
    <w:p w:rsidR="006C3D18" w:rsidRDefault="00E317B0" w:rsidP="007626AB">
      <w:pPr>
        <w:tabs>
          <w:tab w:val="left" w:pos="426"/>
          <w:tab w:val="left" w:pos="1067"/>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7626AB">
        <w:rPr>
          <w:rFonts w:ascii="Arial" w:eastAsia="Calibri" w:hAnsi="Arial" w:cs="Arial"/>
          <w:sz w:val="22"/>
          <w:szCs w:val="22"/>
        </w:rPr>
        <w:t>P</w:t>
      </w:r>
      <w:r w:rsidR="006C3D18">
        <w:rPr>
          <w:rFonts w:ascii="Arial" w:eastAsia="Calibri" w:hAnsi="Arial" w:cs="Arial"/>
          <w:sz w:val="22"/>
          <w:szCs w:val="22"/>
        </w:rPr>
        <w:t>eter Owen</w:t>
      </w:r>
    </w:p>
    <w:p w:rsidR="00B669D2" w:rsidRDefault="00ED2E54" w:rsidP="00F37026">
      <w:pPr>
        <w:tabs>
          <w:tab w:val="left" w:pos="426"/>
          <w:tab w:val="left" w:pos="1701"/>
        </w:tabs>
        <w:jc w:val="both"/>
        <w:rPr>
          <w:rFonts w:ascii="Arial" w:hAnsi="Arial" w:cs="Arial"/>
          <w:sz w:val="22"/>
          <w:szCs w:val="22"/>
        </w:rPr>
      </w:pPr>
      <w:r w:rsidRPr="00ED2E54">
        <w:rPr>
          <w:rFonts w:ascii="Arial" w:eastAsia="Calibri" w:hAnsi="Arial" w:cs="Arial"/>
          <w:sz w:val="22"/>
          <w:szCs w:val="22"/>
        </w:rPr>
        <w:tab/>
      </w:r>
      <w:r w:rsidRPr="00ED2E54">
        <w:rPr>
          <w:rFonts w:ascii="Arial" w:eastAsia="Calibri" w:hAnsi="Arial" w:cs="Arial"/>
          <w:sz w:val="22"/>
          <w:szCs w:val="22"/>
        </w:rPr>
        <w:tab/>
      </w:r>
      <w:r w:rsidRPr="00ED2E54">
        <w:rPr>
          <w:rFonts w:ascii="Arial" w:eastAsia="Calibri" w:hAnsi="Arial" w:cs="Arial"/>
          <w:sz w:val="22"/>
          <w:szCs w:val="22"/>
        </w:rPr>
        <w:tab/>
      </w:r>
      <w:r w:rsidR="00B669D2">
        <w:rPr>
          <w:rFonts w:ascii="Arial" w:hAnsi="Arial" w:cs="Arial"/>
          <w:sz w:val="22"/>
          <w:szCs w:val="22"/>
        </w:rPr>
        <w:t xml:space="preserve">Aaron Ritchie </w:t>
      </w:r>
      <w:bookmarkStart w:id="0" w:name="_GoBack"/>
      <w:bookmarkEnd w:id="0"/>
    </w:p>
    <w:p w:rsidR="007626AB" w:rsidRDefault="00B669D2" w:rsidP="00F37026">
      <w:pPr>
        <w:tabs>
          <w:tab w:val="left" w:pos="426"/>
          <w:tab w:val="left" w:pos="1701"/>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7626AB">
        <w:rPr>
          <w:rFonts w:ascii="Arial" w:hAnsi="Arial" w:cs="Arial"/>
          <w:sz w:val="22"/>
          <w:szCs w:val="22"/>
        </w:rPr>
        <w:t xml:space="preserve">Adam Sharples </w:t>
      </w:r>
    </w:p>
    <w:p w:rsidR="005E23C4" w:rsidRDefault="007626AB" w:rsidP="00F37026">
      <w:pPr>
        <w:tabs>
          <w:tab w:val="left" w:pos="426"/>
          <w:tab w:val="left" w:pos="1701"/>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ED2E54" w:rsidRPr="00ED2E54" w:rsidRDefault="005E23C4" w:rsidP="00F37026">
      <w:pPr>
        <w:tabs>
          <w:tab w:val="left" w:pos="426"/>
          <w:tab w:val="left" w:pos="1701"/>
        </w:tabs>
        <w:jc w:val="both"/>
        <w:rPr>
          <w:rFonts w:ascii="Arial" w:eastAsia="Calibri"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E317B0" w:rsidRDefault="00ED2E54" w:rsidP="00F37026">
      <w:pPr>
        <w:tabs>
          <w:tab w:val="left" w:pos="426"/>
          <w:tab w:val="left" w:pos="1701"/>
        </w:tabs>
        <w:jc w:val="both"/>
        <w:rPr>
          <w:rFonts w:ascii="Arial" w:eastAsia="Calibri" w:hAnsi="Arial" w:cs="Arial"/>
          <w:sz w:val="22"/>
          <w:szCs w:val="22"/>
        </w:rPr>
      </w:pPr>
      <w:r w:rsidRPr="00ED2E54">
        <w:rPr>
          <w:rFonts w:ascii="Arial" w:eastAsia="Calibri" w:hAnsi="Arial" w:cs="Arial"/>
          <w:b/>
          <w:sz w:val="22"/>
          <w:szCs w:val="22"/>
          <w:u w:val="single"/>
        </w:rPr>
        <w:t>Apologies:</w:t>
      </w:r>
      <w:r w:rsidRPr="00ED2E54">
        <w:rPr>
          <w:rFonts w:ascii="Arial" w:eastAsia="Calibri" w:hAnsi="Arial" w:cs="Arial"/>
          <w:sz w:val="22"/>
          <w:szCs w:val="22"/>
        </w:rPr>
        <w:tab/>
      </w:r>
      <w:r w:rsidRPr="00ED2E54">
        <w:rPr>
          <w:rFonts w:ascii="Arial" w:eastAsia="Calibri" w:hAnsi="Arial" w:cs="Arial"/>
          <w:sz w:val="22"/>
          <w:szCs w:val="22"/>
        </w:rPr>
        <w:tab/>
      </w:r>
      <w:r w:rsidR="004A64C6">
        <w:rPr>
          <w:rFonts w:ascii="Arial" w:eastAsia="Calibri" w:hAnsi="Arial" w:cs="Arial"/>
          <w:sz w:val="22"/>
          <w:szCs w:val="22"/>
        </w:rPr>
        <w:t>P</w:t>
      </w:r>
      <w:r w:rsidR="00613FA4">
        <w:rPr>
          <w:rFonts w:ascii="Arial" w:eastAsia="Calibri" w:hAnsi="Arial" w:cs="Arial"/>
          <w:sz w:val="22"/>
          <w:szCs w:val="22"/>
        </w:rPr>
        <w:t>enny Boys</w:t>
      </w:r>
    </w:p>
    <w:p w:rsidR="007626AB" w:rsidRDefault="004A64C6" w:rsidP="00F37026">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C04DAF">
        <w:rPr>
          <w:rFonts w:ascii="Arial" w:eastAsia="Calibri" w:hAnsi="Arial" w:cs="Arial"/>
          <w:sz w:val="22"/>
          <w:szCs w:val="22"/>
        </w:rPr>
        <w:t>Geoffrey Chipperfield</w:t>
      </w:r>
    </w:p>
    <w:p w:rsidR="007626AB" w:rsidRDefault="007626AB" w:rsidP="00F37026">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C04DAF">
        <w:rPr>
          <w:rFonts w:ascii="Arial" w:eastAsia="Calibri" w:hAnsi="Arial" w:cs="Arial"/>
          <w:sz w:val="22"/>
          <w:szCs w:val="22"/>
        </w:rPr>
        <w:t>Alun Evans</w:t>
      </w:r>
    </w:p>
    <w:p w:rsidR="00B44530" w:rsidRDefault="00B44530" w:rsidP="00F37026">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t>Tom Legg</w:t>
      </w:r>
    </w:p>
    <w:p w:rsidR="002D3951" w:rsidRDefault="007626AB" w:rsidP="00F37026">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2D3951">
        <w:rPr>
          <w:rFonts w:ascii="Arial" w:eastAsia="Calibri" w:hAnsi="Arial" w:cs="Arial"/>
          <w:sz w:val="22"/>
          <w:szCs w:val="22"/>
        </w:rPr>
        <w:t>Leigh Lewis</w:t>
      </w:r>
    </w:p>
    <w:p w:rsidR="004A64C6" w:rsidRDefault="002D3951" w:rsidP="00F37026">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4A64C6">
        <w:rPr>
          <w:rFonts w:ascii="Arial" w:eastAsia="Calibri" w:hAnsi="Arial" w:cs="Arial"/>
          <w:sz w:val="22"/>
          <w:szCs w:val="22"/>
        </w:rPr>
        <w:t>Peter Makeham</w:t>
      </w:r>
    </w:p>
    <w:p w:rsidR="00C04DAF" w:rsidRDefault="004A64C6" w:rsidP="00F37026">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C04DAF">
        <w:rPr>
          <w:rFonts w:ascii="Arial" w:eastAsia="Calibri" w:hAnsi="Arial" w:cs="Arial"/>
          <w:sz w:val="22"/>
          <w:szCs w:val="22"/>
        </w:rPr>
        <w:t>Barbara Moorhouse</w:t>
      </w:r>
    </w:p>
    <w:p w:rsidR="007626AB" w:rsidRDefault="00C04DAF" w:rsidP="00F37026">
      <w:pPr>
        <w:tabs>
          <w:tab w:val="left" w:pos="426"/>
          <w:tab w:val="left" w:pos="1701"/>
        </w:tabs>
        <w:jc w:val="both"/>
        <w:rPr>
          <w:rFonts w:ascii="Arial"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7626AB">
        <w:rPr>
          <w:rFonts w:ascii="Arial" w:hAnsi="Arial" w:cs="Arial"/>
          <w:sz w:val="22"/>
          <w:szCs w:val="22"/>
        </w:rPr>
        <w:t>Martin Stanley</w:t>
      </w:r>
    </w:p>
    <w:p w:rsidR="00C04DAF" w:rsidRPr="00C04DAF" w:rsidRDefault="00C04DAF" w:rsidP="00F37026">
      <w:pPr>
        <w:tabs>
          <w:tab w:val="left" w:pos="426"/>
          <w:tab w:val="left" w:pos="1701"/>
        </w:tabs>
        <w:jc w:val="both"/>
        <w:rPr>
          <w:rFonts w:ascii="Arial" w:eastAsia="Calibri"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Phillip Ward</w:t>
      </w:r>
    </w:p>
    <w:p w:rsidR="004A64C6" w:rsidRDefault="002624A0" w:rsidP="00F37026">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p>
    <w:p w:rsidR="00CA091D" w:rsidRDefault="0045392A" w:rsidP="00F37026">
      <w:pPr>
        <w:tabs>
          <w:tab w:val="left" w:pos="426"/>
          <w:tab w:val="left" w:pos="1701"/>
        </w:tabs>
        <w:jc w:val="both"/>
        <w:rPr>
          <w:rFonts w:ascii="Arial" w:eastAsia="Calibri" w:hAnsi="Arial" w:cs="Arial"/>
          <w:sz w:val="22"/>
          <w:szCs w:val="22"/>
        </w:rPr>
      </w:pPr>
      <w:r>
        <w:rPr>
          <w:rFonts w:ascii="Arial" w:eastAsia="Calibri" w:hAnsi="Arial" w:cs="Arial"/>
          <w:sz w:val="22"/>
          <w:szCs w:val="22"/>
        </w:rPr>
        <w:t xml:space="preserve"> </w:t>
      </w:r>
    </w:p>
    <w:p w:rsidR="00CA091D" w:rsidRDefault="00CA091D" w:rsidP="00F37026">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p>
    <w:p w:rsidR="00ED2E54" w:rsidRPr="00ED2E54" w:rsidRDefault="00CA091D" w:rsidP="00F37026">
      <w:pPr>
        <w:tabs>
          <w:tab w:val="left" w:pos="426"/>
          <w:tab w:val="left" w:pos="1701"/>
        </w:tabs>
        <w:jc w:val="both"/>
        <w:rPr>
          <w:rFonts w:ascii="Arial" w:hAnsi="Arial" w:cs="Arial"/>
          <w:sz w:val="22"/>
          <w:szCs w:val="22"/>
        </w:rPr>
      </w:pPr>
      <w:r>
        <w:rPr>
          <w:rFonts w:ascii="Arial" w:eastAsia="Calibri" w:hAnsi="Arial" w:cs="Arial"/>
          <w:sz w:val="22"/>
          <w:szCs w:val="22"/>
        </w:rPr>
        <w:tab/>
      </w:r>
      <w:r>
        <w:rPr>
          <w:rFonts w:ascii="Arial" w:eastAsia="Calibri" w:hAnsi="Arial" w:cs="Arial"/>
          <w:sz w:val="22"/>
          <w:szCs w:val="22"/>
        </w:rPr>
        <w:tab/>
      </w:r>
      <w:r w:rsidR="00ED2E54" w:rsidRPr="00ED2E54">
        <w:rPr>
          <w:rFonts w:ascii="Arial" w:hAnsi="Arial" w:cs="Arial"/>
          <w:sz w:val="22"/>
          <w:szCs w:val="22"/>
        </w:rPr>
        <w:tab/>
      </w:r>
      <w:r w:rsidR="00ED2E54" w:rsidRPr="00ED2E54">
        <w:rPr>
          <w:rFonts w:ascii="Arial" w:hAnsi="Arial" w:cs="Arial"/>
          <w:sz w:val="22"/>
          <w:szCs w:val="22"/>
        </w:rPr>
        <w:tab/>
      </w:r>
      <w:r w:rsidR="00ED2E54" w:rsidRPr="00ED2E54">
        <w:rPr>
          <w:rFonts w:ascii="Arial" w:hAnsi="Arial" w:cs="Arial"/>
          <w:sz w:val="22"/>
          <w:szCs w:val="22"/>
        </w:rPr>
        <w:tab/>
      </w:r>
    </w:p>
    <w:p w:rsidR="00B96220" w:rsidRDefault="00ED2E54" w:rsidP="00F37026">
      <w:pPr>
        <w:jc w:val="both"/>
        <w:rPr>
          <w:rFonts w:ascii="Arial" w:eastAsia="Calibri" w:hAnsi="Arial" w:cs="Arial"/>
          <w:b/>
          <w:sz w:val="22"/>
          <w:szCs w:val="22"/>
          <w:u w:val="single"/>
        </w:rPr>
      </w:pPr>
      <w:r w:rsidRPr="00ED2E54">
        <w:rPr>
          <w:rFonts w:ascii="Arial" w:hAnsi="Arial"/>
          <w:b/>
          <w:sz w:val="22"/>
          <w:szCs w:val="22"/>
          <w:u w:val="single"/>
        </w:rPr>
        <w:t xml:space="preserve">Minutes of the Meeting </w:t>
      </w:r>
      <w:r w:rsidRPr="005E1FFF">
        <w:rPr>
          <w:rFonts w:ascii="Arial" w:hAnsi="Arial"/>
          <w:b/>
          <w:sz w:val="22"/>
          <w:szCs w:val="22"/>
          <w:u w:val="single"/>
        </w:rPr>
        <w:t xml:space="preserve">on </w:t>
      </w:r>
      <w:r w:rsidR="00B44530">
        <w:rPr>
          <w:rFonts w:ascii="Arial" w:eastAsia="Calibri" w:hAnsi="Arial" w:cs="Arial"/>
          <w:b/>
          <w:sz w:val="22"/>
          <w:szCs w:val="22"/>
          <w:u w:val="single"/>
        </w:rPr>
        <w:t>6</w:t>
      </w:r>
      <w:r w:rsidR="005E23C4" w:rsidRPr="005E23C4">
        <w:rPr>
          <w:rFonts w:ascii="Arial" w:eastAsia="Calibri" w:hAnsi="Arial" w:cs="Arial"/>
          <w:b/>
          <w:sz w:val="22"/>
          <w:szCs w:val="22"/>
          <w:u w:val="single"/>
          <w:vertAlign w:val="superscript"/>
        </w:rPr>
        <w:t>th</w:t>
      </w:r>
      <w:r w:rsidR="005E23C4">
        <w:rPr>
          <w:rFonts w:ascii="Arial" w:eastAsia="Calibri" w:hAnsi="Arial" w:cs="Arial"/>
          <w:b/>
          <w:sz w:val="22"/>
          <w:szCs w:val="22"/>
          <w:u w:val="single"/>
        </w:rPr>
        <w:t xml:space="preserve"> </w:t>
      </w:r>
      <w:r w:rsidR="00B44530">
        <w:rPr>
          <w:rFonts w:ascii="Arial" w:eastAsia="Calibri" w:hAnsi="Arial" w:cs="Arial"/>
          <w:b/>
          <w:sz w:val="22"/>
          <w:szCs w:val="22"/>
          <w:u w:val="single"/>
        </w:rPr>
        <w:t>Octo</w:t>
      </w:r>
      <w:r w:rsidR="00603B09">
        <w:rPr>
          <w:rFonts w:ascii="Arial" w:eastAsia="Calibri" w:hAnsi="Arial" w:cs="Arial"/>
          <w:b/>
          <w:sz w:val="22"/>
          <w:szCs w:val="22"/>
          <w:u w:val="single"/>
        </w:rPr>
        <w:t>ber</w:t>
      </w:r>
      <w:r w:rsidR="005E1FFF" w:rsidRPr="005E1FFF">
        <w:rPr>
          <w:rFonts w:ascii="Arial" w:eastAsia="Calibri" w:hAnsi="Arial" w:cs="Arial"/>
          <w:b/>
          <w:sz w:val="22"/>
          <w:szCs w:val="22"/>
          <w:u w:val="single"/>
        </w:rPr>
        <w:t xml:space="preserve"> 201</w:t>
      </w:r>
      <w:r w:rsidR="00344A84">
        <w:rPr>
          <w:rFonts w:ascii="Arial" w:eastAsia="Calibri" w:hAnsi="Arial" w:cs="Arial"/>
          <w:b/>
          <w:sz w:val="22"/>
          <w:szCs w:val="22"/>
          <w:u w:val="single"/>
        </w:rPr>
        <w:t>5</w:t>
      </w:r>
      <w:r w:rsidR="005E23C4">
        <w:rPr>
          <w:rFonts w:ascii="Arial" w:eastAsia="Calibri" w:hAnsi="Arial" w:cs="Arial"/>
          <w:b/>
          <w:sz w:val="22"/>
          <w:szCs w:val="22"/>
          <w:u w:val="single"/>
        </w:rPr>
        <w:t xml:space="preserve"> and matters arising</w:t>
      </w:r>
    </w:p>
    <w:p w:rsidR="00072350" w:rsidRDefault="00072350" w:rsidP="00F37026">
      <w:pPr>
        <w:jc w:val="both"/>
        <w:rPr>
          <w:rFonts w:ascii="Arial" w:eastAsia="Calibri" w:hAnsi="Arial" w:cs="Arial"/>
          <w:b/>
          <w:sz w:val="22"/>
          <w:szCs w:val="22"/>
          <w:u w:val="single"/>
        </w:rPr>
      </w:pPr>
    </w:p>
    <w:p w:rsidR="00072350" w:rsidRPr="00072350" w:rsidRDefault="00072350" w:rsidP="00F37026">
      <w:pPr>
        <w:jc w:val="both"/>
        <w:rPr>
          <w:rFonts w:ascii="Arial" w:hAnsi="Arial"/>
          <w:sz w:val="22"/>
          <w:szCs w:val="22"/>
        </w:rPr>
      </w:pPr>
      <w:r w:rsidRPr="00072350">
        <w:rPr>
          <w:rFonts w:ascii="Arial" w:eastAsia="Calibri" w:hAnsi="Arial" w:cs="Arial"/>
          <w:sz w:val="22"/>
          <w:szCs w:val="22"/>
        </w:rPr>
        <w:t>The minutes were agreed.</w:t>
      </w:r>
    </w:p>
    <w:p w:rsidR="00B96220" w:rsidRPr="00ED2E54" w:rsidRDefault="00B96220" w:rsidP="00F37026">
      <w:pPr>
        <w:jc w:val="both"/>
        <w:rPr>
          <w:rFonts w:ascii="Arial" w:hAnsi="Arial"/>
          <w:sz w:val="22"/>
          <w:szCs w:val="22"/>
        </w:rPr>
      </w:pPr>
    </w:p>
    <w:p w:rsidR="00F644E3" w:rsidRDefault="0096436E" w:rsidP="00F37026">
      <w:pPr>
        <w:jc w:val="both"/>
        <w:rPr>
          <w:rFonts w:ascii="Arial" w:hAnsi="Arial"/>
          <w:sz w:val="22"/>
          <w:szCs w:val="22"/>
        </w:rPr>
      </w:pPr>
      <w:r>
        <w:rPr>
          <w:rFonts w:ascii="Arial" w:hAnsi="Arial"/>
          <w:sz w:val="22"/>
          <w:szCs w:val="22"/>
        </w:rPr>
        <w:t xml:space="preserve">Robin Butler had asked a written question seeking information on directions given by ministers to permanent secretaries in recent years. There was clearly a problem of lack of follow-up by the PAC who relied on questioning of </w:t>
      </w:r>
      <w:r w:rsidR="00726F28">
        <w:rPr>
          <w:rFonts w:ascii="Arial" w:hAnsi="Arial"/>
          <w:sz w:val="22"/>
          <w:szCs w:val="22"/>
        </w:rPr>
        <w:t xml:space="preserve">officials and </w:t>
      </w:r>
      <w:r>
        <w:rPr>
          <w:rFonts w:ascii="Arial" w:hAnsi="Arial"/>
          <w:sz w:val="22"/>
          <w:szCs w:val="22"/>
        </w:rPr>
        <w:t xml:space="preserve">seemed reluctant to cross-examine ministerial colleagues </w:t>
      </w:r>
      <w:r w:rsidR="00726F28">
        <w:rPr>
          <w:rFonts w:ascii="Arial" w:hAnsi="Arial"/>
          <w:sz w:val="22"/>
          <w:szCs w:val="22"/>
        </w:rPr>
        <w:t>even though the issuing of a direction formally transferred responsibility from officials to ministers. T</w:t>
      </w:r>
      <w:r>
        <w:rPr>
          <w:rFonts w:ascii="Arial" w:hAnsi="Arial"/>
          <w:sz w:val="22"/>
          <w:szCs w:val="22"/>
        </w:rPr>
        <w:t>he NAO appeared to believe that simply drawing attention to the issuing of a direction was sufficient.</w:t>
      </w:r>
      <w:r w:rsidR="00726F28">
        <w:rPr>
          <w:rFonts w:ascii="Arial" w:hAnsi="Arial"/>
          <w:sz w:val="22"/>
          <w:szCs w:val="22"/>
        </w:rPr>
        <w:t xml:space="preserve"> </w:t>
      </w:r>
      <w:r w:rsidR="00726F28" w:rsidRPr="00B17E7C">
        <w:rPr>
          <w:rFonts w:ascii="Arial" w:hAnsi="Arial"/>
          <w:sz w:val="22"/>
          <w:szCs w:val="22"/>
          <w:u w:val="single"/>
        </w:rPr>
        <w:t xml:space="preserve">It was agreed </w:t>
      </w:r>
      <w:r w:rsidR="001A373E" w:rsidRPr="00B17E7C">
        <w:rPr>
          <w:rFonts w:ascii="Arial" w:hAnsi="Arial"/>
          <w:sz w:val="22"/>
          <w:szCs w:val="22"/>
          <w:u w:val="single"/>
        </w:rPr>
        <w:t>that</w:t>
      </w:r>
      <w:r w:rsidR="00726F28" w:rsidRPr="00B17E7C">
        <w:rPr>
          <w:rFonts w:ascii="Arial" w:hAnsi="Arial"/>
          <w:sz w:val="22"/>
          <w:szCs w:val="22"/>
          <w:u w:val="single"/>
        </w:rPr>
        <w:t xml:space="preserve"> Robin Butler would write a letter to the Times on behalf of BGI drawing attention to the lack of effective accountability to Parliament for expenditure authorised by ministerial directi</w:t>
      </w:r>
      <w:r w:rsidR="001A373E" w:rsidRPr="00B17E7C">
        <w:rPr>
          <w:rFonts w:ascii="Arial" w:hAnsi="Arial"/>
          <w:sz w:val="22"/>
          <w:szCs w:val="22"/>
          <w:u w:val="single"/>
        </w:rPr>
        <w:t>on</w:t>
      </w:r>
      <w:r w:rsidR="00726F28">
        <w:rPr>
          <w:rFonts w:ascii="Arial" w:hAnsi="Arial"/>
          <w:sz w:val="22"/>
          <w:szCs w:val="22"/>
        </w:rPr>
        <w:t>.</w:t>
      </w:r>
    </w:p>
    <w:p w:rsidR="001A373E" w:rsidRDefault="001A373E" w:rsidP="00F37026">
      <w:pPr>
        <w:jc w:val="both"/>
        <w:rPr>
          <w:rFonts w:ascii="Arial" w:hAnsi="Arial"/>
          <w:sz w:val="22"/>
          <w:szCs w:val="22"/>
        </w:rPr>
      </w:pPr>
    </w:p>
    <w:p w:rsidR="001A373E" w:rsidRDefault="001A373E" w:rsidP="00F37026">
      <w:pPr>
        <w:jc w:val="both"/>
        <w:rPr>
          <w:rFonts w:ascii="Arial" w:hAnsi="Arial"/>
          <w:sz w:val="22"/>
          <w:szCs w:val="22"/>
        </w:rPr>
      </w:pPr>
      <w:r>
        <w:rPr>
          <w:rFonts w:ascii="Arial" w:hAnsi="Arial"/>
          <w:sz w:val="22"/>
          <w:szCs w:val="22"/>
        </w:rPr>
        <w:t xml:space="preserve">Revision of the third sector paper was in progress. It would include a reference to Kids’ Company as an example of ministers being won over by the personality of </w:t>
      </w:r>
      <w:r w:rsidR="0092331B">
        <w:rPr>
          <w:rFonts w:ascii="Arial" w:hAnsi="Arial"/>
          <w:sz w:val="22"/>
          <w:szCs w:val="22"/>
        </w:rPr>
        <w:t>the charity’s director.</w:t>
      </w:r>
    </w:p>
    <w:p w:rsidR="001A373E" w:rsidRDefault="001A373E" w:rsidP="00F37026">
      <w:pPr>
        <w:jc w:val="both"/>
        <w:rPr>
          <w:rFonts w:ascii="Arial" w:hAnsi="Arial"/>
          <w:sz w:val="22"/>
          <w:szCs w:val="22"/>
        </w:rPr>
      </w:pPr>
    </w:p>
    <w:p w:rsidR="00F644E3" w:rsidRPr="00F644E3" w:rsidRDefault="00F644E3" w:rsidP="00F37026">
      <w:pPr>
        <w:jc w:val="both"/>
        <w:rPr>
          <w:rFonts w:ascii="Arial" w:hAnsi="Arial"/>
          <w:b/>
          <w:sz w:val="22"/>
          <w:szCs w:val="22"/>
          <w:u w:val="single"/>
        </w:rPr>
      </w:pPr>
      <w:r w:rsidRPr="00F644E3">
        <w:rPr>
          <w:rFonts w:ascii="Arial" w:hAnsi="Arial"/>
          <w:b/>
          <w:sz w:val="22"/>
          <w:szCs w:val="22"/>
          <w:u w:val="single"/>
        </w:rPr>
        <w:t>Updates</w:t>
      </w:r>
    </w:p>
    <w:p w:rsidR="00FB1D2A" w:rsidRDefault="00FB1D2A" w:rsidP="00F37026">
      <w:pPr>
        <w:jc w:val="both"/>
        <w:rPr>
          <w:rFonts w:ascii="Arial" w:hAnsi="Arial"/>
          <w:sz w:val="22"/>
          <w:szCs w:val="22"/>
        </w:rPr>
      </w:pPr>
    </w:p>
    <w:p w:rsidR="00584DFF" w:rsidRDefault="001A373E" w:rsidP="008F09F4">
      <w:pPr>
        <w:tabs>
          <w:tab w:val="left" w:pos="284"/>
        </w:tabs>
        <w:jc w:val="both"/>
        <w:rPr>
          <w:rFonts w:ascii="Arial" w:hAnsi="Arial"/>
          <w:sz w:val="22"/>
          <w:szCs w:val="22"/>
        </w:rPr>
      </w:pPr>
      <w:r w:rsidRPr="00B17E7C">
        <w:rPr>
          <w:rFonts w:ascii="Arial" w:hAnsi="Arial"/>
          <w:sz w:val="22"/>
          <w:szCs w:val="22"/>
          <w:u w:val="single"/>
        </w:rPr>
        <w:t xml:space="preserve">It was agreed that Richard Mottram’s letter to Tom Watson </w:t>
      </w:r>
      <w:r w:rsidR="00E6454A" w:rsidRPr="00B17E7C">
        <w:rPr>
          <w:rFonts w:ascii="Arial" w:hAnsi="Arial"/>
          <w:sz w:val="22"/>
          <w:szCs w:val="22"/>
          <w:u w:val="single"/>
        </w:rPr>
        <w:t>sh</w:t>
      </w:r>
      <w:r w:rsidRPr="00B17E7C">
        <w:rPr>
          <w:rFonts w:ascii="Arial" w:hAnsi="Arial"/>
          <w:sz w:val="22"/>
          <w:szCs w:val="22"/>
          <w:u w:val="single"/>
        </w:rPr>
        <w:t>ould be circulated</w:t>
      </w:r>
      <w:r w:rsidR="00D070F9">
        <w:rPr>
          <w:rFonts w:ascii="Arial" w:hAnsi="Arial"/>
          <w:sz w:val="22"/>
          <w:szCs w:val="22"/>
          <w:u w:val="single"/>
        </w:rPr>
        <w:t xml:space="preserve"> for information.</w:t>
      </w:r>
      <w:r w:rsidR="00554BA6" w:rsidRPr="008F09F4">
        <w:rPr>
          <w:rFonts w:ascii="Arial" w:hAnsi="Arial"/>
          <w:sz w:val="22"/>
          <w:szCs w:val="22"/>
        </w:rPr>
        <w:t xml:space="preserve"> </w:t>
      </w:r>
    </w:p>
    <w:p w:rsidR="008F09F4" w:rsidRDefault="008F09F4" w:rsidP="008F09F4">
      <w:pPr>
        <w:tabs>
          <w:tab w:val="left" w:pos="284"/>
        </w:tabs>
        <w:jc w:val="both"/>
        <w:rPr>
          <w:rFonts w:ascii="Arial" w:hAnsi="Arial"/>
          <w:sz w:val="22"/>
          <w:szCs w:val="22"/>
        </w:rPr>
      </w:pPr>
    </w:p>
    <w:p w:rsidR="008F09F4" w:rsidRDefault="008F09F4" w:rsidP="008F09F4">
      <w:pPr>
        <w:tabs>
          <w:tab w:val="left" w:pos="284"/>
        </w:tabs>
        <w:jc w:val="both"/>
        <w:rPr>
          <w:rFonts w:ascii="Arial" w:hAnsi="Arial"/>
          <w:sz w:val="22"/>
          <w:szCs w:val="22"/>
        </w:rPr>
      </w:pPr>
      <w:r>
        <w:rPr>
          <w:rFonts w:ascii="Arial" w:hAnsi="Arial"/>
          <w:sz w:val="22"/>
          <w:szCs w:val="22"/>
        </w:rPr>
        <w:t xml:space="preserve">In discussion of the meeting with Sir Bob Kerslake </w:t>
      </w:r>
      <w:r w:rsidR="00587BE3">
        <w:rPr>
          <w:rFonts w:ascii="Arial" w:hAnsi="Arial"/>
          <w:sz w:val="22"/>
          <w:szCs w:val="22"/>
        </w:rPr>
        <w:t xml:space="preserve">on his review of the Treasury </w:t>
      </w:r>
      <w:r>
        <w:rPr>
          <w:rFonts w:ascii="Arial" w:hAnsi="Arial"/>
          <w:sz w:val="22"/>
          <w:szCs w:val="22"/>
        </w:rPr>
        <w:t>the following main points were made.</w:t>
      </w:r>
    </w:p>
    <w:p w:rsidR="008F09F4" w:rsidRPr="008F09F4" w:rsidRDefault="008F09F4" w:rsidP="008F09F4">
      <w:pPr>
        <w:tabs>
          <w:tab w:val="left" w:pos="284"/>
        </w:tabs>
        <w:jc w:val="both"/>
        <w:rPr>
          <w:rFonts w:ascii="Arial" w:hAnsi="Arial"/>
          <w:sz w:val="22"/>
          <w:szCs w:val="22"/>
        </w:rPr>
      </w:pPr>
    </w:p>
    <w:p w:rsidR="00E6454A" w:rsidRDefault="00587BE3" w:rsidP="00587BE3">
      <w:pPr>
        <w:pStyle w:val="ListParagraph"/>
        <w:numPr>
          <w:ilvl w:val="0"/>
          <w:numId w:val="27"/>
        </w:numPr>
        <w:tabs>
          <w:tab w:val="left" w:pos="284"/>
        </w:tabs>
        <w:ind w:left="0" w:firstLine="0"/>
        <w:jc w:val="both"/>
        <w:rPr>
          <w:rFonts w:ascii="Arial" w:hAnsi="Arial"/>
          <w:sz w:val="22"/>
          <w:szCs w:val="22"/>
        </w:rPr>
      </w:pPr>
      <w:r w:rsidRPr="00587BE3">
        <w:rPr>
          <w:rFonts w:ascii="Arial" w:hAnsi="Arial"/>
          <w:sz w:val="22"/>
          <w:szCs w:val="22"/>
        </w:rPr>
        <w:t>There were two main issues to consider</w:t>
      </w:r>
      <w:r>
        <w:rPr>
          <w:rFonts w:ascii="Arial" w:hAnsi="Arial"/>
          <w:sz w:val="22"/>
          <w:szCs w:val="22"/>
        </w:rPr>
        <w:t>: the Chancellor’s moves toward</w:t>
      </w:r>
      <w:r w:rsidR="00E6454A">
        <w:rPr>
          <w:rFonts w:ascii="Arial" w:hAnsi="Arial"/>
          <w:sz w:val="22"/>
          <w:szCs w:val="22"/>
        </w:rPr>
        <w:t>s</w:t>
      </w:r>
      <w:r>
        <w:rPr>
          <w:rFonts w:ascii="Arial" w:hAnsi="Arial"/>
          <w:sz w:val="22"/>
          <w:szCs w:val="22"/>
        </w:rPr>
        <w:t xml:space="preserve"> </w:t>
      </w:r>
      <w:r w:rsidR="00E6454A">
        <w:rPr>
          <w:rFonts w:ascii="Arial" w:hAnsi="Arial"/>
          <w:sz w:val="22"/>
          <w:szCs w:val="22"/>
        </w:rPr>
        <w:t>personally promoting</w:t>
      </w:r>
      <w:r>
        <w:rPr>
          <w:rFonts w:ascii="Arial" w:hAnsi="Arial"/>
          <w:sz w:val="22"/>
          <w:szCs w:val="22"/>
        </w:rPr>
        <w:t xml:space="preserve"> policy development in areas where the Treasury did not have lead responsibility </w:t>
      </w:r>
      <w:r w:rsidR="00E6454A">
        <w:rPr>
          <w:rFonts w:ascii="Arial" w:hAnsi="Arial"/>
          <w:sz w:val="22"/>
          <w:szCs w:val="22"/>
        </w:rPr>
        <w:t xml:space="preserve">and the weakening of the Treasury’s capacity to challenge the effectiveness of proposals for public expenditure. </w:t>
      </w:r>
    </w:p>
    <w:p w:rsidR="00602DF6" w:rsidRDefault="00E6454A" w:rsidP="00587BE3">
      <w:pPr>
        <w:pStyle w:val="ListParagraph"/>
        <w:numPr>
          <w:ilvl w:val="0"/>
          <w:numId w:val="27"/>
        </w:numPr>
        <w:tabs>
          <w:tab w:val="left" w:pos="284"/>
        </w:tabs>
        <w:ind w:left="0" w:firstLine="0"/>
        <w:jc w:val="both"/>
        <w:rPr>
          <w:rFonts w:ascii="Arial" w:hAnsi="Arial"/>
          <w:sz w:val="22"/>
          <w:szCs w:val="22"/>
        </w:rPr>
      </w:pPr>
      <w:r>
        <w:rPr>
          <w:rFonts w:ascii="Arial" w:hAnsi="Arial"/>
          <w:sz w:val="22"/>
          <w:szCs w:val="22"/>
        </w:rPr>
        <w:t xml:space="preserve">It was arguable that </w:t>
      </w:r>
      <w:r w:rsidR="00602DF6">
        <w:rPr>
          <w:rFonts w:ascii="Arial" w:hAnsi="Arial"/>
          <w:sz w:val="22"/>
          <w:szCs w:val="22"/>
        </w:rPr>
        <w:t>the latter</w:t>
      </w:r>
      <w:r>
        <w:rPr>
          <w:rFonts w:ascii="Arial" w:hAnsi="Arial"/>
          <w:sz w:val="22"/>
          <w:szCs w:val="22"/>
        </w:rPr>
        <w:t xml:space="preserve"> was increasingly left to auditors, but they could only operate retrospectively</w:t>
      </w:r>
      <w:r w:rsidR="00DB1A20">
        <w:rPr>
          <w:rFonts w:ascii="Arial" w:hAnsi="Arial"/>
          <w:sz w:val="22"/>
          <w:szCs w:val="22"/>
        </w:rPr>
        <w:t xml:space="preserve"> after the policy decisions had been made and implemented</w:t>
      </w:r>
      <w:r>
        <w:rPr>
          <w:rFonts w:ascii="Arial" w:hAnsi="Arial"/>
          <w:sz w:val="22"/>
          <w:szCs w:val="22"/>
        </w:rPr>
        <w:t>.</w:t>
      </w:r>
    </w:p>
    <w:p w:rsidR="00AF067D" w:rsidRDefault="00602DF6" w:rsidP="00587BE3">
      <w:pPr>
        <w:pStyle w:val="ListParagraph"/>
        <w:numPr>
          <w:ilvl w:val="0"/>
          <w:numId w:val="27"/>
        </w:numPr>
        <w:tabs>
          <w:tab w:val="left" w:pos="284"/>
        </w:tabs>
        <w:ind w:left="0" w:firstLine="0"/>
        <w:jc w:val="both"/>
        <w:rPr>
          <w:rFonts w:ascii="Arial" w:hAnsi="Arial"/>
          <w:sz w:val="22"/>
          <w:szCs w:val="22"/>
        </w:rPr>
      </w:pPr>
      <w:r>
        <w:rPr>
          <w:rFonts w:ascii="Arial" w:hAnsi="Arial"/>
          <w:sz w:val="22"/>
          <w:szCs w:val="22"/>
        </w:rPr>
        <w:t xml:space="preserve">The Treasury should focus principally on the envelope of spending, leaving departments to draw on their expertise in their own policy areas </w:t>
      </w:r>
      <w:r w:rsidR="00211ADF">
        <w:rPr>
          <w:rFonts w:ascii="Arial" w:hAnsi="Arial"/>
          <w:sz w:val="22"/>
          <w:szCs w:val="22"/>
        </w:rPr>
        <w:t xml:space="preserve">so as </w:t>
      </w:r>
      <w:r>
        <w:rPr>
          <w:rFonts w:ascii="Arial" w:hAnsi="Arial"/>
          <w:sz w:val="22"/>
          <w:szCs w:val="22"/>
        </w:rPr>
        <w:t xml:space="preserve">to secure the best value from the funds available. </w:t>
      </w:r>
      <w:r w:rsidR="00E6454A">
        <w:rPr>
          <w:rFonts w:ascii="Arial" w:hAnsi="Arial"/>
          <w:sz w:val="22"/>
          <w:szCs w:val="22"/>
        </w:rPr>
        <w:t xml:space="preserve"> </w:t>
      </w:r>
      <w:r>
        <w:rPr>
          <w:rFonts w:ascii="Arial" w:hAnsi="Arial"/>
          <w:sz w:val="22"/>
          <w:szCs w:val="22"/>
        </w:rPr>
        <w:t>However the Treasury needed to ensure that departments had the necessary systems in place to carry out this role</w:t>
      </w:r>
      <w:r w:rsidR="00DB1A20">
        <w:rPr>
          <w:rFonts w:ascii="Arial" w:hAnsi="Arial"/>
          <w:sz w:val="22"/>
          <w:szCs w:val="22"/>
        </w:rPr>
        <w:t xml:space="preserve">, </w:t>
      </w:r>
      <w:r>
        <w:rPr>
          <w:rFonts w:ascii="Arial" w:hAnsi="Arial"/>
          <w:sz w:val="22"/>
          <w:szCs w:val="22"/>
        </w:rPr>
        <w:t>to question unjustified political pressures</w:t>
      </w:r>
      <w:r w:rsidR="00DB1A20">
        <w:rPr>
          <w:rFonts w:ascii="Arial" w:hAnsi="Arial"/>
          <w:sz w:val="22"/>
          <w:szCs w:val="22"/>
        </w:rPr>
        <w:t xml:space="preserve"> and to provide an outside perspective on priorities</w:t>
      </w:r>
      <w:r>
        <w:rPr>
          <w:rFonts w:ascii="Arial" w:hAnsi="Arial"/>
          <w:sz w:val="22"/>
          <w:szCs w:val="22"/>
        </w:rPr>
        <w:t>.</w:t>
      </w:r>
    </w:p>
    <w:p w:rsidR="00DB1A20" w:rsidRDefault="00DB1A20" w:rsidP="00587BE3">
      <w:pPr>
        <w:pStyle w:val="ListParagraph"/>
        <w:numPr>
          <w:ilvl w:val="0"/>
          <w:numId w:val="27"/>
        </w:numPr>
        <w:tabs>
          <w:tab w:val="left" w:pos="284"/>
        </w:tabs>
        <w:ind w:left="0" w:firstLine="0"/>
        <w:jc w:val="both"/>
        <w:rPr>
          <w:rFonts w:ascii="Arial" w:hAnsi="Arial"/>
          <w:sz w:val="22"/>
          <w:szCs w:val="22"/>
        </w:rPr>
      </w:pPr>
      <w:r>
        <w:rPr>
          <w:rFonts w:ascii="Arial" w:hAnsi="Arial"/>
          <w:sz w:val="22"/>
          <w:szCs w:val="22"/>
        </w:rPr>
        <w:t>Detailed Treasury intervention in departments’ policy decisions had begun with Gordon Brown and now seemed to be gathering momentum again.</w:t>
      </w:r>
    </w:p>
    <w:p w:rsidR="00DB1A20" w:rsidRDefault="00DB1A20" w:rsidP="00587BE3">
      <w:pPr>
        <w:pStyle w:val="ListParagraph"/>
        <w:numPr>
          <w:ilvl w:val="0"/>
          <w:numId w:val="27"/>
        </w:numPr>
        <w:tabs>
          <w:tab w:val="left" w:pos="284"/>
        </w:tabs>
        <w:ind w:left="0" w:firstLine="0"/>
        <w:jc w:val="both"/>
        <w:rPr>
          <w:rFonts w:ascii="Arial" w:hAnsi="Arial"/>
          <w:sz w:val="22"/>
          <w:szCs w:val="22"/>
        </w:rPr>
      </w:pPr>
      <w:r>
        <w:rPr>
          <w:rFonts w:ascii="Arial" w:hAnsi="Arial"/>
          <w:sz w:val="22"/>
          <w:szCs w:val="22"/>
        </w:rPr>
        <w:t xml:space="preserve">We should </w:t>
      </w:r>
      <w:r w:rsidR="00211ADF">
        <w:rPr>
          <w:rFonts w:ascii="Arial" w:hAnsi="Arial"/>
          <w:sz w:val="22"/>
          <w:szCs w:val="22"/>
        </w:rPr>
        <w:t>seek</w:t>
      </w:r>
      <w:r>
        <w:rPr>
          <w:rFonts w:ascii="Arial" w:hAnsi="Arial"/>
          <w:sz w:val="22"/>
          <w:szCs w:val="22"/>
        </w:rPr>
        <w:t xml:space="preserve"> to establish what Sir Bob Kerslake’s approach to the inquiry would </w:t>
      </w:r>
      <w:r w:rsidR="00211ADF">
        <w:rPr>
          <w:rFonts w:ascii="Arial" w:hAnsi="Arial"/>
          <w:sz w:val="22"/>
          <w:szCs w:val="22"/>
        </w:rPr>
        <w:t>be</w:t>
      </w:r>
      <w:r>
        <w:rPr>
          <w:rFonts w:ascii="Arial" w:hAnsi="Arial"/>
          <w:sz w:val="22"/>
          <w:szCs w:val="22"/>
        </w:rPr>
        <w:t>. It had been commissioned by the Labour Opposition but he had made it clear that he intended it to be an independent expert review.</w:t>
      </w:r>
    </w:p>
    <w:p w:rsidR="00D070F9" w:rsidRDefault="00D070F9" w:rsidP="00D070F9">
      <w:pPr>
        <w:pStyle w:val="ListParagraph"/>
        <w:tabs>
          <w:tab w:val="left" w:pos="284"/>
        </w:tabs>
        <w:ind w:left="0"/>
        <w:jc w:val="both"/>
        <w:rPr>
          <w:rFonts w:ascii="Arial" w:hAnsi="Arial"/>
          <w:sz w:val="22"/>
          <w:szCs w:val="22"/>
        </w:rPr>
      </w:pPr>
    </w:p>
    <w:p w:rsidR="00211ADF" w:rsidRPr="00D070F9" w:rsidRDefault="00211ADF" w:rsidP="00D070F9">
      <w:pPr>
        <w:tabs>
          <w:tab w:val="left" w:pos="284"/>
        </w:tabs>
        <w:jc w:val="both"/>
        <w:rPr>
          <w:rFonts w:ascii="Arial" w:hAnsi="Arial"/>
          <w:sz w:val="22"/>
          <w:szCs w:val="22"/>
          <w:u w:val="single"/>
        </w:rPr>
      </w:pPr>
      <w:r w:rsidRPr="00D070F9">
        <w:rPr>
          <w:rFonts w:ascii="Arial" w:hAnsi="Arial"/>
          <w:sz w:val="22"/>
          <w:szCs w:val="22"/>
          <w:u w:val="single"/>
        </w:rPr>
        <w:t>It was agreed that Richard Mottram, Robin Butler and Adam Sharples would attend the meeting at the House of Lords on 23</w:t>
      </w:r>
      <w:r w:rsidRPr="00D070F9">
        <w:rPr>
          <w:rFonts w:ascii="Arial" w:hAnsi="Arial"/>
          <w:sz w:val="22"/>
          <w:szCs w:val="22"/>
          <w:u w:val="single"/>
          <w:vertAlign w:val="superscript"/>
        </w:rPr>
        <w:t>rd</w:t>
      </w:r>
      <w:r w:rsidRPr="00D070F9">
        <w:rPr>
          <w:rFonts w:ascii="Arial" w:hAnsi="Arial"/>
          <w:sz w:val="22"/>
          <w:szCs w:val="22"/>
          <w:u w:val="single"/>
        </w:rPr>
        <w:t xml:space="preserve"> November at 1.30 pm.</w:t>
      </w:r>
    </w:p>
    <w:p w:rsidR="00587BE3" w:rsidRDefault="00587BE3" w:rsidP="00F37026">
      <w:pPr>
        <w:jc w:val="both"/>
        <w:rPr>
          <w:rFonts w:ascii="Arial" w:hAnsi="Arial"/>
          <w:b/>
          <w:sz w:val="22"/>
          <w:szCs w:val="22"/>
          <w:u w:val="single"/>
        </w:rPr>
      </w:pPr>
    </w:p>
    <w:p w:rsidR="00B96220" w:rsidRDefault="0055132A" w:rsidP="00F37026">
      <w:pPr>
        <w:jc w:val="both"/>
        <w:rPr>
          <w:rFonts w:ascii="Arial" w:hAnsi="Arial"/>
          <w:b/>
          <w:sz w:val="22"/>
          <w:szCs w:val="22"/>
          <w:u w:val="single"/>
        </w:rPr>
      </w:pPr>
      <w:r>
        <w:rPr>
          <w:rFonts w:ascii="Arial" w:hAnsi="Arial"/>
          <w:b/>
          <w:sz w:val="22"/>
          <w:szCs w:val="22"/>
          <w:u w:val="single"/>
        </w:rPr>
        <w:t>Revised code of conduct for SPADs</w:t>
      </w:r>
    </w:p>
    <w:p w:rsidR="00ED2E54" w:rsidRPr="00ED2E54" w:rsidRDefault="00ED2E54" w:rsidP="00F37026">
      <w:pPr>
        <w:jc w:val="both"/>
        <w:rPr>
          <w:rFonts w:ascii="Arial" w:hAnsi="Arial"/>
          <w:b/>
          <w:sz w:val="22"/>
          <w:szCs w:val="22"/>
          <w:u w:val="single"/>
        </w:rPr>
      </w:pPr>
    </w:p>
    <w:p w:rsidR="00091BF5" w:rsidRDefault="0055132A" w:rsidP="00F37026">
      <w:pPr>
        <w:pStyle w:val="ColorfulList-Accent11"/>
        <w:widowControl/>
        <w:ind w:left="0"/>
        <w:jc w:val="both"/>
        <w:rPr>
          <w:rFonts w:ascii="Arial" w:hAnsi="Arial"/>
          <w:sz w:val="22"/>
          <w:szCs w:val="22"/>
        </w:rPr>
      </w:pPr>
      <w:r>
        <w:rPr>
          <w:rFonts w:ascii="Arial" w:hAnsi="Arial"/>
          <w:sz w:val="22"/>
          <w:szCs w:val="22"/>
        </w:rPr>
        <w:t xml:space="preserve">Peter Owen said that the issue had been raised by Bernard Jenkin in an interview with Civil Service World where he had drawn attention to the reference in the revised code to SPADS passing on </w:t>
      </w:r>
      <w:r w:rsidRPr="001C55DE">
        <w:rPr>
          <w:rFonts w:ascii="Arial" w:hAnsi="Arial"/>
          <w:b/>
          <w:sz w:val="22"/>
          <w:szCs w:val="22"/>
        </w:rPr>
        <w:t>in</w:t>
      </w:r>
      <w:r w:rsidRPr="00B17E7C">
        <w:rPr>
          <w:rFonts w:ascii="Arial" w:hAnsi="Arial"/>
          <w:b/>
          <w:sz w:val="22"/>
          <w:szCs w:val="22"/>
        </w:rPr>
        <w:t>structions</w:t>
      </w:r>
      <w:r w:rsidR="00D070F9">
        <w:rPr>
          <w:rFonts w:ascii="Arial" w:hAnsi="Arial"/>
          <w:sz w:val="22"/>
          <w:szCs w:val="22"/>
        </w:rPr>
        <w:t xml:space="preserve"> by ministers; h</w:t>
      </w:r>
      <w:r>
        <w:rPr>
          <w:rFonts w:ascii="Arial" w:hAnsi="Arial"/>
          <w:sz w:val="22"/>
          <w:szCs w:val="22"/>
        </w:rPr>
        <w:t xml:space="preserve">e feared that this might </w:t>
      </w:r>
      <w:r w:rsidR="00373DA3">
        <w:rPr>
          <w:rFonts w:ascii="Arial" w:hAnsi="Arial"/>
          <w:sz w:val="22"/>
          <w:szCs w:val="22"/>
        </w:rPr>
        <w:t>signal</w:t>
      </w:r>
      <w:r>
        <w:rPr>
          <w:rFonts w:ascii="Arial" w:hAnsi="Arial"/>
          <w:sz w:val="22"/>
          <w:szCs w:val="22"/>
        </w:rPr>
        <w:t xml:space="preserve"> a return to </w:t>
      </w:r>
      <w:r w:rsidR="00373DA3">
        <w:rPr>
          <w:rFonts w:ascii="Arial" w:hAnsi="Arial"/>
          <w:sz w:val="22"/>
          <w:szCs w:val="22"/>
        </w:rPr>
        <w:t xml:space="preserve">the period when </w:t>
      </w:r>
      <w:r>
        <w:rPr>
          <w:rFonts w:ascii="Arial" w:hAnsi="Arial"/>
          <w:sz w:val="22"/>
          <w:szCs w:val="22"/>
        </w:rPr>
        <w:t xml:space="preserve">Alastair Campbell </w:t>
      </w:r>
      <w:r w:rsidR="00373DA3">
        <w:rPr>
          <w:rFonts w:ascii="Arial" w:hAnsi="Arial"/>
          <w:sz w:val="22"/>
          <w:szCs w:val="22"/>
        </w:rPr>
        <w:t>was free to instruct officials</w:t>
      </w:r>
      <w:r w:rsidR="00486019">
        <w:rPr>
          <w:rFonts w:ascii="Arial" w:hAnsi="Arial"/>
          <w:sz w:val="22"/>
          <w:szCs w:val="22"/>
        </w:rPr>
        <w:t>.</w:t>
      </w:r>
    </w:p>
    <w:p w:rsidR="00373DA3" w:rsidRDefault="00373DA3" w:rsidP="00F37026">
      <w:pPr>
        <w:pStyle w:val="ColorfulList-Accent11"/>
        <w:widowControl/>
        <w:ind w:left="0"/>
        <w:jc w:val="both"/>
        <w:rPr>
          <w:rFonts w:ascii="Arial" w:hAnsi="Arial"/>
          <w:sz w:val="22"/>
          <w:szCs w:val="22"/>
        </w:rPr>
      </w:pPr>
    </w:p>
    <w:p w:rsidR="00373DA3" w:rsidRDefault="00373DA3" w:rsidP="00F37026">
      <w:pPr>
        <w:pStyle w:val="ColorfulList-Accent11"/>
        <w:widowControl/>
        <w:ind w:left="0"/>
        <w:jc w:val="both"/>
        <w:rPr>
          <w:rFonts w:ascii="Arial" w:hAnsi="Arial"/>
          <w:sz w:val="22"/>
          <w:szCs w:val="22"/>
        </w:rPr>
      </w:pPr>
      <w:r>
        <w:rPr>
          <w:rFonts w:ascii="Arial" w:hAnsi="Arial"/>
          <w:sz w:val="22"/>
          <w:szCs w:val="22"/>
        </w:rPr>
        <w:t>In discussion the following main points were made.</w:t>
      </w:r>
    </w:p>
    <w:p w:rsidR="00373DA3" w:rsidRDefault="00373DA3" w:rsidP="00F37026">
      <w:pPr>
        <w:pStyle w:val="ColorfulList-Accent11"/>
        <w:widowControl/>
        <w:ind w:left="0"/>
        <w:jc w:val="both"/>
        <w:rPr>
          <w:rFonts w:ascii="Arial" w:hAnsi="Arial"/>
          <w:sz w:val="22"/>
          <w:szCs w:val="22"/>
        </w:rPr>
      </w:pPr>
    </w:p>
    <w:p w:rsidR="00373DA3" w:rsidRDefault="00373DA3" w:rsidP="00373DA3">
      <w:pPr>
        <w:pStyle w:val="ColorfulList-Accent11"/>
        <w:widowControl/>
        <w:numPr>
          <w:ilvl w:val="0"/>
          <w:numId w:val="27"/>
        </w:numPr>
        <w:tabs>
          <w:tab w:val="left" w:pos="284"/>
        </w:tabs>
        <w:ind w:left="0" w:firstLine="0"/>
        <w:jc w:val="both"/>
        <w:rPr>
          <w:rFonts w:ascii="Arial" w:hAnsi="Arial"/>
          <w:sz w:val="22"/>
          <w:szCs w:val="22"/>
        </w:rPr>
      </w:pPr>
      <w:r>
        <w:rPr>
          <w:rFonts w:ascii="Arial" w:hAnsi="Arial"/>
          <w:sz w:val="22"/>
          <w:szCs w:val="22"/>
        </w:rPr>
        <w:t>It was hard to argue that SPADs should be forbidden to pass on a minister’s instruction if that was genuinely what was being done. The difficulty arose when SPADs misrepresented their own views as a</w:t>
      </w:r>
      <w:r w:rsidR="00022E9A">
        <w:rPr>
          <w:rFonts w:ascii="Arial" w:hAnsi="Arial"/>
          <w:sz w:val="22"/>
          <w:szCs w:val="22"/>
        </w:rPr>
        <w:t>n</w:t>
      </w:r>
      <w:r>
        <w:rPr>
          <w:rFonts w:ascii="Arial" w:hAnsi="Arial"/>
          <w:sz w:val="22"/>
          <w:szCs w:val="22"/>
        </w:rPr>
        <w:t xml:space="preserve"> instruction from a minister.</w:t>
      </w:r>
    </w:p>
    <w:p w:rsidR="00B17E7C" w:rsidRPr="00B17E7C" w:rsidRDefault="00B07D87" w:rsidP="00B17E7C">
      <w:pPr>
        <w:pStyle w:val="ColorfulList-Accent11"/>
        <w:widowControl/>
        <w:numPr>
          <w:ilvl w:val="0"/>
          <w:numId w:val="27"/>
        </w:numPr>
        <w:tabs>
          <w:tab w:val="left" w:pos="284"/>
        </w:tabs>
        <w:ind w:left="0" w:firstLine="0"/>
        <w:jc w:val="both"/>
        <w:rPr>
          <w:rFonts w:ascii="Arial" w:hAnsi="Arial" w:cs="Arial"/>
          <w:b/>
          <w:sz w:val="22"/>
          <w:szCs w:val="22"/>
          <w:u w:val="single"/>
        </w:rPr>
      </w:pPr>
      <w:r>
        <w:rPr>
          <w:rFonts w:ascii="Arial" w:hAnsi="Arial"/>
          <w:sz w:val="22"/>
          <w:szCs w:val="22"/>
        </w:rPr>
        <w:t>If a SPAD was in charge of an operational unit including civil servants it would be necessary to be able to instruct them.</w:t>
      </w:r>
      <w:r w:rsidR="00B17E7C" w:rsidRPr="00B17E7C">
        <w:rPr>
          <w:rFonts w:ascii="Arial" w:hAnsi="Arial"/>
          <w:sz w:val="22"/>
          <w:szCs w:val="22"/>
        </w:rPr>
        <w:t xml:space="preserve"> Th</w:t>
      </w:r>
      <w:r w:rsidR="00B17E7C">
        <w:rPr>
          <w:rFonts w:ascii="Arial" w:hAnsi="Arial"/>
          <w:sz w:val="22"/>
          <w:szCs w:val="22"/>
        </w:rPr>
        <w:t xml:space="preserve">at might be </w:t>
      </w:r>
      <w:r w:rsidR="00B17E7C" w:rsidRPr="00B17E7C">
        <w:rPr>
          <w:rFonts w:ascii="Arial" w:hAnsi="Arial"/>
          <w:sz w:val="22"/>
          <w:szCs w:val="22"/>
        </w:rPr>
        <w:t>relevant in relation to Extended Ministerial Offices. Peter Hennessey had mentioned that four were now being set up. Robin Butler would ask him for further details</w:t>
      </w:r>
      <w:r w:rsidR="00B17E7C">
        <w:rPr>
          <w:rFonts w:ascii="Arial" w:hAnsi="Arial"/>
          <w:sz w:val="22"/>
          <w:szCs w:val="22"/>
        </w:rPr>
        <w:t>.</w:t>
      </w:r>
    </w:p>
    <w:p w:rsidR="00022E9A" w:rsidRPr="00936C46" w:rsidRDefault="00022E9A" w:rsidP="0044677E">
      <w:pPr>
        <w:pStyle w:val="ColorfulList-Accent11"/>
        <w:widowControl/>
        <w:numPr>
          <w:ilvl w:val="0"/>
          <w:numId w:val="27"/>
        </w:numPr>
        <w:tabs>
          <w:tab w:val="left" w:pos="284"/>
        </w:tabs>
        <w:ind w:left="0" w:firstLine="0"/>
        <w:jc w:val="both"/>
        <w:rPr>
          <w:rFonts w:ascii="Arial" w:hAnsi="Arial" w:cs="Arial"/>
          <w:b/>
          <w:sz w:val="22"/>
          <w:szCs w:val="22"/>
          <w:u w:val="single"/>
        </w:rPr>
      </w:pPr>
      <w:r>
        <w:rPr>
          <w:rFonts w:ascii="Arial" w:hAnsi="Arial"/>
          <w:sz w:val="22"/>
          <w:szCs w:val="22"/>
        </w:rPr>
        <w:t xml:space="preserve">The code was poorly drafted. It was not clear or consistent in differentiating between permanent civil servants and </w:t>
      </w:r>
      <w:r w:rsidR="002E71A8">
        <w:rPr>
          <w:rFonts w:ascii="Arial" w:hAnsi="Arial"/>
          <w:sz w:val="22"/>
          <w:szCs w:val="22"/>
        </w:rPr>
        <w:t>SPAD</w:t>
      </w:r>
      <w:r>
        <w:rPr>
          <w:rFonts w:ascii="Arial" w:hAnsi="Arial"/>
          <w:sz w:val="22"/>
          <w:szCs w:val="22"/>
        </w:rPr>
        <w:t>s.</w:t>
      </w:r>
    </w:p>
    <w:p w:rsidR="00D070F9" w:rsidRPr="00D070F9" w:rsidRDefault="00936C46" w:rsidP="0044677E">
      <w:pPr>
        <w:pStyle w:val="ColorfulList-Accent11"/>
        <w:widowControl/>
        <w:numPr>
          <w:ilvl w:val="0"/>
          <w:numId w:val="27"/>
        </w:numPr>
        <w:tabs>
          <w:tab w:val="left" w:pos="284"/>
        </w:tabs>
        <w:ind w:left="0" w:firstLine="0"/>
        <w:jc w:val="both"/>
        <w:rPr>
          <w:rFonts w:ascii="Arial" w:hAnsi="Arial" w:cs="Arial"/>
          <w:b/>
          <w:sz w:val="22"/>
          <w:szCs w:val="22"/>
          <w:u w:val="single"/>
        </w:rPr>
      </w:pPr>
      <w:r>
        <w:rPr>
          <w:rFonts w:ascii="Arial" w:hAnsi="Arial"/>
          <w:sz w:val="22"/>
          <w:szCs w:val="22"/>
        </w:rPr>
        <w:t>An important purpose of the code was to protect ministers; there had been cases where junior ministers had been effectively sidelined by SPADs</w:t>
      </w:r>
    </w:p>
    <w:p w:rsidR="00936C46" w:rsidRPr="00B17E7C" w:rsidRDefault="00936C46" w:rsidP="00D070F9">
      <w:pPr>
        <w:pStyle w:val="ColorfulList-Accent11"/>
        <w:widowControl/>
        <w:tabs>
          <w:tab w:val="left" w:pos="284"/>
        </w:tabs>
        <w:ind w:left="0"/>
        <w:jc w:val="both"/>
        <w:rPr>
          <w:rFonts w:ascii="Arial" w:hAnsi="Arial" w:cs="Arial"/>
          <w:b/>
          <w:sz w:val="22"/>
          <w:szCs w:val="22"/>
          <w:u w:val="single"/>
        </w:rPr>
      </w:pPr>
    </w:p>
    <w:p w:rsidR="00B17E7C" w:rsidRPr="00936C46" w:rsidRDefault="00B17E7C" w:rsidP="00D070F9">
      <w:pPr>
        <w:pStyle w:val="ColorfulList-Accent11"/>
        <w:widowControl/>
        <w:tabs>
          <w:tab w:val="left" w:pos="284"/>
        </w:tabs>
        <w:ind w:left="0"/>
        <w:jc w:val="both"/>
        <w:rPr>
          <w:rFonts w:ascii="Arial" w:hAnsi="Arial" w:cs="Arial"/>
          <w:b/>
          <w:sz w:val="22"/>
          <w:szCs w:val="22"/>
          <w:u w:val="single"/>
        </w:rPr>
      </w:pPr>
      <w:r w:rsidRPr="001C55DE">
        <w:rPr>
          <w:rFonts w:ascii="Arial" w:hAnsi="Arial"/>
          <w:sz w:val="22"/>
          <w:szCs w:val="22"/>
          <w:u w:val="single"/>
        </w:rPr>
        <w:t>It was agreed that the main points discussed should be passed on to Bernard Jenkin</w:t>
      </w:r>
      <w:r>
        <w:rPr>
          <w:rFonts w:ascii="Arial" w:hAnsi="Arial"/>
          <w:sz w:val="22"/>
          <w:szCs w:val="22"/>
        </w:rPr>
        <w:t>.</w:t>
      </w:r>
    </w:p>
    <w:p w:rsidR="00022E9A" w:rsidRDefault="00022E9A" w:rsidP="00022E9A">
      <w:pPr>
        <w:pStyle w:val="ColorfulList-Accent11"/>
        <w:widowControl/>
        <w:tabs>
          <w:tab w:val="left" w:pos="284"/>
        </w:tabs>
        <w:jc w:val="both"/>
        <w:rPr>
          <w:rFonts w:ascii="Arial" w:hAnsi="Arial" w:cs="Arial"/>
          <w:b/>
          <w:sz w:val="22"/>
          <w:szCs w:val="22"/>
          <w:u w:val="single"/>
        </w:rPr>
      </w:pPr>
    </w:p>
    <w:p w:rsidR="00022E9A" w:rsidRPr="00B07D87" w:rsidRDefault="00022E9A" w:rsidP="00022E9A">
      <w:pPr>
        <w:pStyle w:val="ColorfulList-Accent11"/>
        <w:widowControl/>
        <w:tabs>
          <w:tab w:val="left" w:pos="284"/>
        </w:tabs>
        <w:jc w:val="both"/>
        <w:rPr>
          <w:rFonts w:ascii="Arial" w:hAnsi="Arial" w:cs="Arial"/>
          <w:b/>
          <w:sz w:val="22"/>
          <w:szCs w:val="22"/>
          <w:u w:val="single"/>
        </w:rPr>
      </w:pPr>
    </w:p>
    <w:p w:rsidR="00061DEA" w:rsidRPr="00B07D87" w:rsidRDefault="00072350" w:rsidP="00B17E7C">
      <w:pPr>
        <w:pStyle w:val="ColorfulList-Accent11"/>
        <w:keepNext/>
        <w:widowControl/>
        <w:tabs>
          <w:tab w:val="left" w:pos="284"/>
        </w:tabs>
        <w:ind w:left="0"/>
        <w:jc w:val="both"/>
        <w:rPr>
          <w:rFonts w:ascii="Arial" w:hAnsi="Arial" w:cs="Arial"/>
          <w:b/>
          <w:sz w:val="22"/>
          <w:szCs w:val="22"/>
          <w:u w:val="single"/>
        </w:rPr>
      </w:pPr>
      <w:r w:rsidRPr="00B07D87">
        <w:rPr>
          <w:rFonts w:ascii="Arial" w:hAnsi="Arial" w:cs="Arial"/>
          <w:b/>
          <w:sz w:val="22"/>
          <w:szCs w:val="22"/>
          <w:u w:val="single"/>
        </w:rPr>
        <w:lastRenderedPageBreak/>
        <w:t>Contacts with potential fund raisers</w:t>
      </w:r>
      <w:r w:rsidR="00B17E7C">
        <w:rPr>
          <w:rFonts w:ascii="Arial" w:hAnsi="Arial" w:cs="Arial"/>
          <w:b/>
          <w:sz w:val="22"/>
          <w:szCs w:val="22"/>
          <w:u w:val="single"/>
        </w:rPr>
        <w:t>: state of play</w:t>
      </w:r>
    </w:p>
    <w:p w:rsidR="00524F73" w:rsidRDefault="00524F73" w:rsidP="00B17E7C">
      <w:pPr>
        <w:keepNext/>
        <w:jc w:val="both"/>
        <w:rPr>
          <w:rFonts w:ascii="Arial" w:eastAsia="Arial" w:hAnsi="Arial" w:cs="Arial"/>
          <w:b/>
          <w:sz w:val="22"/>
          <w:szCs w:val="22"/>
          <w:u w:val="single"/>
        </w:rPr>
      </w:pPr>
    </w:p>
    <w:p w:rsidR="00001B85" w:rsidRDefault="00C40B07" w:rsidP="00F37026">
      <w:pPr>
        <w:jc w:val="both"/>
        <w:rPr>
          <w:rFonts w:ascii="Arial" w:hAnsi="Arial"/>
          <w:sz w:val="22"/>
          <w:szCs w:val="22"/>
        </w:rPr>
      </w:pPr>
      <w:r w:rsidRPr="00BD01BA">
        <w:rPr>
          <w:rFonts w:ascii="Arial" w:hAnsi="Arial"/>
          <w:sz w:val="22"/>
          <w:szCs w:val="22"/>
        </w:rPr>
        <w:t>P</w:t>
      </w:r>
      <w:r w:rsidR="00001B85" w:rsidRPr="00BD01BA">
        <w:rPr>
          <w:rFonts w:ascii="Arial" w:hAnsi="Arial"/>
          <w:sz w:val="22"/>
          <w:szCs w:val="22"/>
        </w:rPr>
        <w:t>eter Owen</w:t>
      </w:r>
      <w:r w:rsidR="00E1219A">
        <w:rPr>
          <w:rFonts w:ascii="Arial" w:hAnsi="Arial"/>
          <w:sz w:val="22"/>
          <w:szCs w:val="22"/>
        </w:rPr>
        <w:t xml:space="preserve"> said that the paper </w:t>
      </w:r>
      <w:r w:rsidR="00001B85">
        <w:rPr>
          <w:rFonts w:ascii="Arial" w:hAnsi="Arial"/>
          <w:sz w:val="22"/>
          <w:szCs w:val="22"/>
        </w:rPr>
        <w:t>briefly reported the stage that had now been reached.</w:t>
      </w:r>
      <w:r w:rsidR="001C55DE">
        <w:rPr>
          <w:rFonts w:ascii="Arial" w:hAnsi="Arial"/>
          <w:sz w:val="22"/>
          <w:szCs w:val="22"/>
        </w:rPr>
        <w:t xml:space="preserve"> Robin Butler had spoken to Lord Haskins and had concluded that approaches to individual peers were unlikely to be productive. In contrast the proposal for a dinner with representatives of major charitable organisations had been taken up enthusiastically by Andrew Barnett, the director of the Gulbenkian Foundation</w:t>
      </w:r>
      <w:r w:rsidR="00C52F31">
        <w:rPr>
          <w:rFonts w:ascii="Arial" w:hAnsi="Arial"/>
          <w:sz w:val="22"/>
          <w:szCs w:val="22"/>
        </w:rPr>
        <w:t>, though it could not be held until mid-January</w:t>
      </w:r>
      <w:r w:rsidR="001C55DE">
        <w:rPr>
          <w:rFonts w:ascii="Arial" w:hAnsi="Arial"/>
          <w:sz w:val="22"/>
          <w:szCs w:val="22"/>
        </w:rPr>
        <w:t>.</w:t>
      </w:r>
      <w:r w:rsidR="008A27F5">
        <w:rPr>
          <w:rFonts w:ascii="Arial" w:hAnsi="Arial"/>
          <w:sz w:val="22"/>
          <w:szCs w:val="22"/>
        </w:rPr>
        <w:t xml:space="preserve"> Robin Butler, Richard Mottram and Leigh Lewis would attend the </w:t>
      </w:r>
      <w:r w:rsidR="002C32BA">
        <w:rPr>
          <w:rFonts w:ascii="Arial" w:hAnsi="Arial"/>
          <w:sz w:val="22"/>
          <w:szCs w:val="22"/>
        </w:rPr>
        <w:t>dinner</w:t>
      </w:r>
      <w:r w:rsidR="008A27F5">
        <w:rPr>
          <w:rFonts w:ascii="Arial" w:hAnsi="Arial"/>
          <w:sz w:val="22"/>
          <w:szCs w:val="22"/>
        </w:rPr>
        <w:t>. Alun Evans would be following up suggestions for other contacts with major fund raisers but had been delayed by family illness.</w:t>
      </w:r>
    </w:p>
    <w:p w:rsidR="00001B85" w:rsidRDefault="00001B85" w:rsidP="00F37026">
      <w:pPr>
        <w:jc w:val="both"/>
        <w:rPr>
          <w:rFonts w:ascii="Arial" w:hAnsi="Arial"/>
          <w:sz w:val="22"/>
          <w:szCs w:val="22"/>
        </w:rPr>
      </w:pPr>
    </w:p>
    <w:p w:rsidR="002E71A8" w:rsidRDefault="00314416" w:rsidP="006D0E71">
      <w:pPr>
        <w:jc w:val="both"/>
        <w:rPr>
          <w:rFonts w:ascii="Arial" w:hAnsi="Arial"/>
          <w:sz w:val="22"/>
          <w:szCs w:val="22"/>
        </w:rPr>
      </w:pPr>
      <w:r>
        <w:rPr>
          <w:rFonts w:ascii="Arial" w:hAnsi="Arial"/>
          <w:sz w:val="22"/>
          <w:szCs w:val="22"/>
        </w:rPr>
        <w:t xml:space="preserve">In discussion </w:t>
      </w:r>
      <w:r w:rsidR="006D0E71">
        <w:rPr>
          <w:rFonts w:ascii="Arial" w:hAnsi="Arial"/>
          <w:sz w:val="22"/>
          <w:szCs w:val="22"/>
        </w:rPr>
        <w:t xml:space="preserve">it was agreed that </w:t>
      </w:r>
      <w:r w:rsidR="00FA6AA4">
        <w:rPr>
          <w:rFonts w:ascii="Arial" w:hAnsi="Arial"/>
          <w:sz w:val="22"/>
          <w:szCs w:val="22"/>
        </w:rPr>
        <w:t xml:space="preserve">the Gulbenkian dinner would provide a </w:t>
      </w:r>
      <w:r w:rsidR="002C32BA">
        <w:rPr>
          <w:rFonts w:ascii="Arial" w:hAnsi="Arial"/>
          <w:sz w:val="22"/>
          <w:szCs w:val="22"/>
        </w:rPr>
        <w:t>good</w:t>
      </w:r>
      <w:r w:rsidR="00FA6AA4">
        <w:rPr>
          <w:rFonts w:ascii="Arial" w:hAnsi="Arial"/>
          <w:sz w:val="22"/>
          <w:szCs w:val="22"/>
        </w:rPr>
        <w:t xml:space="preserve"> opportunity to find out who might be interested in financing the BGI and what they wished to achieve. I</w:t>
      </w:r>
      <w:r w:rsidR="008A27F5">
        <w:rPr>
          <w:rFonts w:ascii="Arial" w:hAnsi="Arial"/>
          <w:sz w:val="22"/>
          <w:szCs w:val="22"/>
        </w:rPr>
        <w:t>t would be important to establish exactly what those present at the dinner might expect the BGI to do. We could not operate as a lobbying organisation, but we could provide insight into the way government work</w:t>
      </w:r>
      <w:r w:rsidR="006D0E71">
        <w:rPr>
          <w:rFonts w:ascii="Arial" w:hAnsi="Arial"/>
          <w:sz w:val="22"/>
          <w:szCs w:val="22"/>
        </w:rPr>
        <w:t>s</w:t>
      </w:r>
      <w:r w:rsidR="008A27F5">
        <w:rPr>
          <w:rFonts w:ascii="Arial" w:hAnsi="Arial"/>
          <w:sz w:val="22"/>
          <w:szCs w:val="22"/>
        </w:rPr>
        <w:t xml:space="preserve">. </w:t>
      </w:r>
    </w:p>
    <w:p w:rsidR="002E71A8" w:rsidRDefault="002E71A8" w:rsidP="006D0E71">
      <w:pPr>
        <w:jc w:val="both"/>
        <w:rPr>
          <w:rFonts w:ascii="Arial" w:hAnsi="Arial"/>
          <w:sz w:val="22"/>
          <w:szCs w:val="22"/>
        </w:rPr>
      </w:pPr>
    </w:p>
    <w:p w:rsidR="000F1D64" w:rsidRPr="002E71A8" w:rsidRDefault="002E71A8" w:rsidP="006D0E71">
      <w:pPr>
        <w:jc w:val="both"/>
        <w:rPr>
          <w:rFonts w:ascii="Arial" w:hAnsi="Arial"/>
          <w:sz w:val="22"/>
          <w:szCs w:val="22"/>
          <w:u w:val="single"/>
        </w:rPr>
      </w:pPr>
      <w:r w:rsidRPr="002E71A8">
        <w:rPr>
          <w:rFonts w:ascii="Arial" w:hAnsi="Arial"/>
          <w:sz w:val="22"/>
          <w:szCs w:val="22"/>
          <w:u w:val="single"/>
        </w:rPr>
        <w:t>It was agreed that o</w:t>
      </w:r>
      <w:r w:rsidR="008A27F5" w:rsidRPr="002E71A8">
        <w:rPr>
          <w:rFonts w:ascii="Arial" w:hAnsi="Arial"/>
          <w:sz w:val="22"/>
          <w:szCs w:val="22"/>
          <w:u w:val="single"/>
        </w:rPr>
        <w:t xml:space="preserve">ur line-to-take should be discussed at the next </w:t>
      </w:r>
      <w:r w:rsidR="006D0E71" w:rsidRPr="002E71A8">
        <w:rPr>
          <w:rFonts w:ascii="Arial" w:hAnsi="Arial"/>
          <w:sz w:val="22"/>
          <w:szCs w:val="22"/>
          <w:u w:val="single"/>
        </w:rPr>
        <w:t xml:space="preserve">Executive Committee </w:t>
      </w:r>
      <w:r w:rsidR="008A27F5" w:rsidRPr="002E71A8">
        <w:rPr>
          <w:rFonts w:ascii="Arial" w:hAnsi="Arial"/>
          <w:sz w:val="22"/>
          <w:szCs w:val="22"/>
          <w:u w:val="single"/>
        </w:rPr>
        <w:t>meeting.</w:t>
      </w:r>
    </w:p>
    <w:p w:rsidR="006D0E71" w:rsidRPr="008A27F5" w:rsidRDefault="006D0E71" w:rsidP="006D0E71">
      <w:pPr>
        <w:jc w:val="both"/>
        <w:rPr>
          <w:rFonts w:ascii="Arial" w:hAnsi="Arial"/>
          <w:sz w:val="22"/>
          <w:szCs w:val="22"/>
          <w:u w:val="single"/>
        </w:rPr>
      </w:pPr>
    </w:p>
    <w:p w:rsidR="009B1020" w:rsidRDefault="009B1020" w:rsidP="009B1020">
      <w:pPr>
        <w:tabs>
          <w:tab w:val="left" w:pos="284"/>
        </w:tabs>
        <w:jc w:val="both"/>
        <w:rPr>
          <w:rFonts w:ascii="Arial" w:hAnsi="Arial"/>
          <w:sz w:val="22"/>
          <w:szCs w:val="22"/>
        </w:rPr>
      </w:pPr>
    </w:p>
    <w:p w:rsidR="00CC5ED2" w:rsidRPr="00401725" w:rsidRDefault="006D0E71" w:rsidP="00860FB6">
      <w:pPr>
        <w:pStyle w:val="ListParagraph"/>
        <w:tabs>
          <w:tab w:val="left" w:pos="284"/>
        </w:tabs>
        <w:ind w:left="0"/>
        <w:jc w:val="both"/>
        <w:rPr>
          <w:rFonts w:ascii="Arial" w:hAnsi="Arial"/>
          <w:b/>
          <w:sz w:val="22"/>
          <w:szCs w:val="22"/>
          <w:u w:val="single"/>
        </w:rPr>
      </w:pPr>
      <w:r>
        <w:rPr>
          <w:rFonts w:ascii="Arial" w:hAnsi="Arial"/>
          <w:b/>
          <w:sz w:val="22"/>
          <w:szCs w:val="22"/>
          <w:u w:val="single"/>
        </w:rPr>
        <w:t>FOI Act Review: call for evidence</w:t>
      </w:r>
    </w:p>
    <w:p w:rsidR="00401725" w:rsidRDefault="00401725" w:rsidP="00860FB6">
      <w:pPr>
        <w:pStyle w:val="ListParagraph"/>
        <w:tabs>
          <w:tab w:val="left" w:pos="284"/>
        </w:tabs>
        <w:ind w:left="0"/>
        <w:jc w:val="both"/>
        <w:rPr>
          <w:rFonts w:ascii="Arial" w:hAnsi="Arial"/>
          <w:sz w:val="22"/>
          <w:szCs w:val="22"/>
        </w:rPr>
      </w:pPr>
    </w:p>
    <w:p w:rsidR="00E75CDC" w:rsidRDefault="002C32BA" w:rsidP="00F37026">
      <w:pPr>
        <w:tabs>
          <w:tab w:val="left" w:pos="284"/>
        </w:tabs>
        <w:jc w:val="both"/>
        <w:rPr>
          <w:rFonts w:ascii="Arial" w:hAnsi="Arial"/>
          <w:sz w:val="22"/>
          <w:szCs w:val="22"/>
        </w:rPr>
      </w:pPr>
      <w:r>
        <w:rPr>
          <w:rFonts w:ascii="Arial" w:hAnsi="Arial"/>
          <w:sz w:val="22"/>
          <w:szCs w:val="22"/>
        </w:rPr>
        <w:t xml:space="preserve">Peter Owen said that the FOI Act Review was a topic on which the BGI would be expected to </w:t>
      </w:r>
      <w:r w:rsidR="00742F9F">
        <w:rPr>
          <w:rFonts w:ascii="Arial" w:hAnsi="Arial"/>
          <w:sz w:val="22"/>
          <w:szCs w:val="22"/>
        </w:rPr>
        <w:t>comment, but</w:t>
      </w:r>
      <w:r>
        <w:rPr>
          <w:rFonts w:ascii="Arial" w:hAnsi="Arial"/>
          <w:sz w:val="22"/>
          <w:szCs w:val="22"/>
        </w:rPr>
        <w:t xml:space="preserve"> we had little time to prepare a response to the difficult questions raised; replies were requested by 20</w:t>
      </w:r>
      <w:r w:rsidRPr="002C32BA">
        <w:rPr>
          <w:rFonts w:ascii="Arial" w:hAnsi="Arial"/>
          <w:sz w:val="22"/>
          <w:szCs w:val="22"/>
          <w:vertAlign w:val="superscript"/>
        </w:rPr>
        <w:t>th</w:t>
      </w:r>
      <w:r>
        <w:rPr>
          <w:rFonts w:ascii="Arial" w:hAnsi="Arial"/>
          <w:sz w:val="22"/>
          <w:szCs w:val="22"/>
        </w:rPr>
        <w:t xml:space="preserve"> November.</w:t>
      </w:r>
    </w:p>
    <w:p w:rsidR="002C32BA" w:rsidRDefault="002C32BA" w:rsidP="00F37026">
      <w:pPr>
        <w:tabs>
          <w:tab w:val="left" w:pos="284"/>
        </w:tabs>
        <w:jc w:val="both"/>
        <w:rPr>
          <w:rFonts w:ascii="Arial" w:hAnsi="Arial"/>
          <w:sz w:val="22"/>
          <w:szCs w:val="22"/>
        </w:rPr>
      </w:pPr>
    </w:p>
    <w:p w:rsidR="002C32BA" w:rsidRDefault="002C32BA" w:rsidP="00F37026">
      <w:pPr>
        <w:tabs>
          <w:tab w:val="left" w:pos="284"/>
        </w:tabs>
        <w:jc w:val="both"/>
        <w:rPr>
          <w:rFonts w:ascii="Arial" w:hAnsi="Arial"/>
          <w:sz w:val="22"/>
          <w:szCs w:val="22"/>
        </w:rPr>
      </w:pPr>
      <w:r>
        <w:rPr>
          <w:rFonts w:ascii="Arial" w:hAnsi="Arial"/>
          <w:sz w:val="22"/>
          <w:szCs w:val="22"/>
        </w:rPr>
        <w:t>In discussion the following main points were made.</w:t>
      </w:r>
    </w:p>
    <w:p w:rsidR="002C32BA" w:rsidRDefault="002C32BA" w:rsidP="00F37026">
      <w:pPr>
        <w:tabs>
          <w:tab w:val="left" w:pos="284"/>
        </w:tabs>
        <w:jc w:val="both"/>
        <w:rPr>
          <w:rFonts w:ascii="Arial" w:hAnsi="Arial"/>
          <w:sz w:val="22"/>
          <w:szCs w:val="22"/>
        </w:rPr>
      </w:pPr>
    </w:p>
    <w:p w:rsidR="00606AE7" w:rsidRDefault="002C32BA" w:rsidP="002C32BA">
      <w:pPr>
        <w:pStyle w:val="ListParagraph"/>
        <w:numPr>
          <w:ilvl w:val="0"/>
          <w:numId w:val="27"/>
        </w:numPr>
        <w:tabs>
          <w:tab w:val="left" w:pos="284"/>
        </w:tabs>
        <w:ind w:left="0" w:firstLine="0"/>
        <w:jc w:val="both"/>
        <w:rPr>
          <w:rFonts w:ascii="Arial" w:hAnsi="Arial"/>
          <w:sz w:val="22"/>
          <w:szCs w:val="22"/>
        </w:rPr>
      </w:pPr>
      <w:r>
        <w:rPr>
          <w:rFonts w:ascii="Arial" w:hAnsi="Arial"/>
          <w:sz w:val="22"/>
          <w:szCs w:val="22"/>
        </w:rPr>
        <w:t xml:space="preserve">We should </w:t>
      </w:r>
      <w:r w:rsidR="00606AE7">
        <w:rPr>
          <w:rFonts w:ascii="Arial" w:hAnsi="Arial"/>
          <w:sz w:val="22"/>
          <w:szCs w:val="22"/>
        </w:rPr>
        <w:t>focus our response in particular on civil service advice to ministers.</w:t>
      </w:r>
    </w:p>
    <w:p w:rsidR="00606AE7" w:rsidRDefault="00606AE7" w:rsidP="002C32BA">
      <w:pPr>
        <w:pStyle w:val="ListParagraph"/>
        <w:numPr>
          <w:ilvl w:val="0"/>
          <w:numId w:val="27"/>
        </w:numPr>
        <w:tabs>
          <w:tab w:val="left" w:pos="284"/>
        </w:tabs>
        <w:ind w:left="0" w:firstLine="0"/>
        <w:jc w:val="both"/>
        <w:rPr>
          <w:rFonts w:ascii="Arial" w:hAnsi="Arial"/>
          <w:sz w:val="22"/>
          <w:szCs w:val="22"/>
        </w:rPr>
      </w:pPr>
      <w:r>
        <w:rPr>
          <w:rFonts w:ascii="Arial" w:hAnsi="Arial"/>
          <w:sz w:val="22"/>
          <w:szCs w:val="22"/>
        </w:rPr>
        <w:t>One of the BGI’s key aims was transparency in government, in particular making factual information on which decisions were based freely available.</w:t>
      </w:r>
    </w:p>
    <w:p w:rsidR="00171528" w:rsidRDefault="00606AE7" w:rsidP="002C32BA">
      <w:pPr>
        <w:pStyle w:val="ListParagraph"/>
        <w:numPr>
          <w:ilvl w:val="0"/>
          <w:numId w:val="27"/>
        </w:numPr>
        <w:tabs>
          <w:tab w:val="left" w:pos="284"/>
        </w:tabs>
        <w:ind w:left="0" w:firstLine="0"/>
        <w:jc w:val="both"/>
        <w:rPr>
          <w:rFonts w:ascii="Arial" w:hAnsi="Arial"/>
          <w:sz w:val="22"/>
          <w:szCs w:val="22"/>
        </w:rPr>
      </w:pPr>
      <w:r>
        <w:rPr>
          <w:rFonts w:ascii="Arial" w:hAnsi="Arial"/>
          <w:sz w:val="22"/>
          <w:szCs w:val="22"/>
        </w:rPr>
        <w:t>The knowledge that advice to ministers might be published might have a salutary effect in persuading ministers not to ignore it.</w:t>
      </w:r>
    </w:p>
    <w:p w:rsidR="002C32BA" w:rsidRDefault="00171528" w:rsidP="002C32BA">
      <w:pPr>
        <w:pStyle w:val="ListParagraph"/>
        <w:numPr>
          <w:ilvl w:val="0"/>
          <w:numId w:val="27"/>
        </w:numPr>
        <w:tabs>
          <w:tab w:val="left" w:pos="284"/>
        </w:tabs>
        <w:ind w:left="0" w:firstLine="0"/>
        <w:jc w:val="both"/>
        <w:rPr>
          <w:rFonts w:ascii="Arial" w:hAnsi="Arial"/>
          <w:sz w:val="22"/>
          <w:szCs w:val="22"/>
        </w:rPr>
      </w:pPr>
      <w:r>
        <w:rPr>
          <w:rFonts w:ascii="Arial" w:hAnsi="Arial"/>
          <w:sz w:val="22"/>
          <w:szCs w:val="22"/>
        </w:rPr>
        <w:t>It had been argued that the possibility of publication might inhibit civil servants’ willingness to give frank advice to ministers and truthful recording of decisions. Civil servants had however long been accustomed to providing written advice in terms that would not cause difficulty if it was leaked. More controversial issues were often raised orally. It was believed, however, that written records had sometimes been suppressed.</w:t>
      </w:r>
    </w:p>
    <w:p w:rsidR="00171528" w:rsidRDefault="00171528" w:rsidP="002C32BA">
      <w:pPr>
        <w:pStyle w:val="ListParagraph"/>
        <w:numPr>
          <w:ilvl w:val="0"/>
          <w:numId w:val="27"/>
        </w:numPr>
        <w:tabs>
          <w:tab w:val="left" w:pos="284"/>
        </w:tabs>
        <w:ind w:left="0" w:firstLine="0"/>
        <w:jc w:val="both"/>
        <w:rPr>
          <w:rFonts w:ascii="Arial" w:hAnsi="Arial"/>
          <w:sz w:val="22"/>
          <w:szCs w:val="22"/>
        </w:rPr>
      </w:pPr>
      <w:r>
        <w:rPr>
          <w:rFonts w:ascii="Arial" w:hAnsi="Arial"/>
          <w:sz w:val="22"/>
          <w:szCs w:val="22"/>
        </w:rPr>
        <w:t xml:space="preserve">Publication of advice </w:t>
      </w:r>
      <w:r w:rsidR="0012693A">
        <w:rPr>
          <w:rFonts w:ascii="Arial" w:hAnsi="Arial"/>
          <w:sz w:val="22"/>
          <w:szCs w:val="22"/>
        </w:rPr>
        <w:t xml:space="preserve">by civil servants </w:t>
      </w:r>
      <w:r>
        <w:rPr>
          <w:rFonts w:ascii="Arial" w:hAnsi="Arial"/>
          <w:sz w:val="22"/>
          <w:szCs w:val="22"/>
        </w:rPr>
        <w:t>to a previous administration might prejudice the</w:t>
      </w:r>
      <w:r w:rsidR="0012693A">
        <w:rPr>
          <w:rFonts w:ascii="Arial" w:hAnsi="Arial"/>
          <w:sz w:val="22"/>
          <w:szCs w:val="22"/>
        </w:rPr>
        <w:t>ir impartiality by giving the impression to an incoming government of a different persuasion that they were not to be trusted.</w:t>
      </w:r>
    </w:p>
    <w:p w:rsidR="0012693A" w:rsidRDefault="0012693A" w:rsidP="002C32BA">
      <w:pPr>
        <w:pStyle w:val="ListParagraph"/>
        <w:numPr>
          <w:ilvl w:val="0"/>
          <w:numId w:val="27"/>
        </w:numPr>
        <w:tabs>
          <w:tab w:val="left" w:pos="284"/>
        </w:tabs>
        <w:ind w:left="0" w:firstLine="0"/>
        <w:jc w:val="both"/>
        <w:rPr>
          <w:rFonts w:ascii="Arial" w:hAnsi="Arial"/>
          <w:sz w:val="22"/>
          <w:szCs w:val="22"/>
        </w:rPr>
      </w:pPr>
      <w:r>
        <w:rPr>
          <w:rFonts w:ascii="Arial" w:hAnsi="Arial"/>
          <w:sz w:val="22"/>
          <w:szCs w:val="22"/>
        </w:rPr>
        <w:t>Publication of risk analysis could distort decision making if press and politicians seized on the most extreme example.</w:t>
      </w:r>
    </w:p>
    <w:p w:rsidR="0012693A" w:rsidRDefault="0012693A" w:rsidP="002C32BA">
      <w:pPr>
        <w:pStyle w:val="ListParagraph"/>
        <w:numPr>
          <w:ilvl w:val="0"/>
          <w:numId w:val="27"/>
        </w:numPr>
        <w:tabs>
          <w:tab w:val="left" w:pos="284"/>
        </w:tabs>
        <w:ind w:left="0" w:firstLine="0"/>
        <w:jc w:val="both"/>
        <w:rPr>
          <w:rFonts w:ascii="Arial" w:hAnsi="Arial"/>
          <w:sz w:val="22"/>
          <w:szCs w:val="22"/>
        </w:rPr>
      </w:pPr>
      <w:r>
        <w:rPr>
          <w:rFonts w:ascii="Arial" w:hAnsi="Arial"/>
          <w:sz w:val="22"/>
          <w:szCs w:val="22"/>
        </w:rPr>
        <w:t xml:space="preserve">SPADs had also occasionally needed protection from release of documents under the </w:t>
      </w:r>
      <w:r w:rsidR="00FD2615">
        <w:rPr>
          <w:rFonts w:ascii="Arial" w:hAnsi="Arial"/>
          <w:sz w:val="22"/>
          <w:szCs w:val="22"/>
        </w:rPr>
        <w:t>FOI rules.</w:t>
      </w:r>
    </w:p>
    <w:p w:rsidR="00FD2615" w:rsidRDefault="00FD2615" w:rsidP="002C32BA">
      <w:pPr>
        <w:pStyle w:val="ListParagraph"/>
        <w:numPr>
          <w:ilvl w:val="0"/>
          <w:numId w:val="27"/>
        </w:numPr>
        <w:tabs>
          <w:tab w:val="left" w:pos="284"/>
        </w:tabs>
        <w:ind w:left="0" w:firstLine="0"/>
        <w:jc w:val="both"/>
        <w:rPr>
          <w:rFonts w:ascii="Arial" w:hAnsi="Arial"/>
          <w:sz w:val="22"/>
          <w:szCs w:val="22"/>
        </w:rPr>
      </w:pPr>
      <w:r>
        <w:rPr>
          <w:rFonts w:ascii="Arial" w:hAnsi="Arial"/>
          <w:sz w:val="22"/>
          <w:szCs w:val="22"/>
        </w:rPr>
        <w:t>Some newspapers were imposing excessive demands on the FOI system.</w:t>
      </w:r>
    </w:p>
    <w:p w:rsidR="00FD2615" w:rsidRDefault="00FD2615" w:rsidP="002C32BA">
      <w:pPr>
        <w:pStyle w:val="ListParagraph"/>
        <w:numPr>
          <w:ilvl w:val="0"/>
          <w:numId w:val="27"/>
        </w:numPr>
        <w:tabs>
          <w:tab w:val="left" w:pos="284"/>
        </w:tabs>
        <w:ind w:left="0" w:firstLine="0"/>
        <w:jc w:val="both"/>
        <w:rPr>
          <w:rFonts w:ascii="Arial" w:hAnsi="Arial"/>
          <w:sz w:val="22"/>
          <w:szCs w:val="22"/>
        </w:rPr>
      </w:pPr>
      <w:r>
        <w:rPr>
          <w:rFonts w:ascii="Arial" w:hAnsi="Arial"/>
          <w:sz w:val="22"/>
          <w:szCs w:val="22"/>
        </w:rPr>
        <w:t xml:space="preserve">It was evident that sensible considered reflection on decisions to be taken would be thwarted if all advice, even at the earliest and most tentative stages, was instantly made freely available. Ministers and their advisers needed some safe space to develop their </w:t>
      </w:r>
      <w:r>
        <w:rPr>
          <w:rFonts w:ascii="Arial" w:hAnsi="Arial"/>
          <w:sz w:val="22"/>
          <w:szCs w:val="22"/>
        </w:rPr>
        <w:lastRenderedPageBreak/>
        <w:t>ideas before their conclusions were made available for public scrutiny. This was the original intention of the Act, but it had been progressively eroded.</w:t>
      </w:r>
    </w:p>
    <w:p w:rsidR="00FD2615" w:rsidRDefault="00FD2615" w:rsidP="002C32BA">
      <w:pPr>
        <w:pStyle w:val="ListParagraph"/>
        <w:numPr>
          <w:ilvl w:val="0"/>
          <w:numId w:val="27"/>
        </w:numPr>
        <w:tabs>
          <w:tab w:val="left" w:pos="284"/>
        </w:tabs>
        <w:ind w:left="0" w:firstLine="0"/>
        <w:jc w:val="both"/>
        <w:rPr>
          <w:rFonts w:ascii="Arial" w:hAnsi="Arial"/>
          <w:sz w:val="22"/>
          <w:szCs w:val="22"/>
        </w:rPr>
      </w:pPr>
      <w:r>
        <w:rPr>
          <w:rFonts w:ascii="Arial" w:hAnsi="Arial"/>
          <w:sz w:val="22"/>
          <w:szCs w:val="22"/>
        </w:rPr>
        <w:t>Some curtailment o</w:t>
      </w:r>
      <w:r w:rsidR="00D070F9">
        <w:rPr>
          <w:rFonts w:ascii="Arial" w:hAnsi="Arial"/>
          <w:sz w:val="22"/>
          <w:szCs w:val="22"/>
        </w:rPr>
        <w:t>f</w:t>
      </w:r>
      <w:r>
        <w:rPr>
          <w:rFonts w:ascii="Arial" w:hAnsi="Arial"/>
          <w:sz w:val="22"/>
          <w:szCs w:val="22"/>
        </w:rPr>
        <w:t xml:space="preserve"> the present time limits on the release of some categories of information might be appropriate.</w:t>
      </w:r>
    </w:p>
    <w:p w:rsidR="00D070F9" w:rsidRDefault="00D070F9" w:rsidP="00D070F9">
      <w:pPr>
        <w:tabs>
          <w:tab w:val="left" w:pos="284"/>
        </w:tabs>
        <w:jc w:val="both"/>
        <w:rPr>
          <w:rFonts w:ascii="Arial" w:hAnsi="Arial"/>
          <w:sz w:val="22"/>
          <w:szCs w:val="22"/>
        </w:rPr>
      </w:pPr>
    </w:p>
    <w:p w:rsidR="00D070F9" w:rsidRPr="002E71A8" w:rsidRDefault="00D070F9" w:rsidP="00D070F9">
      <w:pPr>
        <w:tabs>
          <w:tab w:val="left" w:pos="284"/>
        </w:tabs>
        <w:jc w:val="both"/>
        <w:rPr>
          <w:rFonts w:ascii="Arial" w:hAnsi="Arial"/>
          <w:sz w:val="22"/>
          <w:szCs w:val="22"/>
          <w:u w:val="single"/>
        </w:rPr>
      </w:pPr>
      <w:r w:rsidRPr="002E71A8">
        <w:rPr>
          <w:rFonts w:ascii="Arial" w:hAnsi="Arial"/>
          <w:sz w:val="22"/>
          <w:szCs w:val="22"/>
          <w:u w:val="single"/>
        </w:rPr>
        <w:t>It was agreed that Peter Owen should prepare an initial draft of evidence reflecting the points made in discussion.</w:t>
      </w:r>
    </w:p>
    <w:p w:rsidR="002C32BA" w:rsidRDefault="002C32BA" w:rsidP="00F37026">
      <w:pPr>
        <w:tabs>
          <w:tab w:val="left" w:pos="284"/>
        </w:tabs>
        <w:jc w:val="both"/>
        <w:rPr>
          <w:rFonts w:ascii="Arial" w:hAnsi="Arial"/>
          <w:sz w:val="22"/>
          <w:szCs w:val="22"/>
        </w:rPr>
      </w:pPr>
    </w:p>
    <w:p w:rsidR="002C32BA" w:rsidRDefault="002C32BA" w:rsidP="00F37026">
      <w:pPr>
        <w:tabs>
          <w:tab w:val="left" w:pos="284"/>
        </w:tabs>
        <w:jc w:val="both"/>
        <w:rPr>
          <w:rFonts w:ascii="Arial" w:hAnsi="Arial"/>
          <w:sz w:val="22"/>
          <w:szCs w:val="22"/>
        </w:rPr>
      </w:pPr>
    </w:p>
    <w:p w:rsidR="00CC70BE" w:rsidRDefault="00CC70BE" w:rsidP="00054FF4">
      <w:pPr>
        <w:keepNext/>
        <w:jc w:val="both"/>
        <w:rPr>
          <w:rFonts w:ascii="Arial" w:hAnsi="Arial"/>
          <w:b/>
          <w:sz w:val="22"/>
          <w:szCs w:val="22"/>
          <w:u w:val="single"/>
        </w:rPr>
      </w:pPr>
      <w:r w:rsidRPr="00CC70BE">
        <w:rPr>
          <w:rFonts w:ascii="Arial" w:hAnsi="Arial"/>
          <w:b/>
          <w:sz w:val="22"/>
          <w:szCs w:val="22"/>
          <w:u w:val="single"/>
        </w:rPr>
        <w:t>Other business</w:t>
      </w:r>
    </w:p>
    <w:p w:rsidR="002C32BA" w:rsidRDefault="002C32BA" w:rsidP="00054FF4">
      <w:pPr>
        <w:keepNext/>
        <w:jc w:val="both"/>
        <w:rPr>
          <w:rFonts w:ascii="Arial" w:hAnsi="Arial"/>
          <w:b/>
          <w:sz w:val="22"/>
          <w:szCs w:val="22"/>
          <w:u w:val="single"/>
        </w:rPr>
      </w:pPr>
    </w:p>
    <w:p w:rsidR="002C32BA" w:rsidRPr="002C32BA" w:rsidRDefault="002C32BA" w:rsidP="00054FF4">
      <w:pPr>
        <w:keepNext/>
        <w:jc w:val="both"/>
        <w:rPr>
          <w:rFonts w:ascii="Arial" w:hAnsi="Arial"/>
          <w:sz w:val="22"/>
          <w:szCs w:val="22"/>
          <w:u w:val="single"/>
        </w:rPr>
      </w:pPr>
      <w:r w:rsidRPr="002C32BA">
        <w:rPr>
          <w:rFonts w:ascii="Arial" w:hAnsi="Arial"/>
          <w:sz w:val="22"/>
          <w:szCs w:val="22"/>
          <w:u w:val="single"/>
        </w:rPr>
        <w:t>Richard Mottram will invite Ursula Brennan to join the BGI.</w:t>
      </w:r>
    </w:p>
    <w:p w:rsidR="00871C8E" w:rsidRDefault="00871C8E" w:rsidP="00054FF4">
      <w:pPr>
        <w:keepNext/>
        <w:jc w:val="both"/>
        <w:rPr>
          <w:rFonts w:ascii="Arial" w:hAnsi="Arial"/>
          <w:b/>
          <w:sz w:val="22"/>
          <w:szCs w:val="22"/>
          <w:u w:val="single"/>
        </w:rPr>
      </w:pPr>
    </w:p>
    <w:p w:rsidR="00871C8E" w:rsidRPr="00871C8E" w:rsidRDefault="00871C8E" w:rsidP="00F37026">
      <w:pPr>
        <w:jc w:val="both"/>
        <w:rPr>
          <w:rFonts w:ascii="Arial" w:hAnsi="Arial"/>
          <w:sz w:val="22"/>
          <w:szCs w:val="22"/>
        </w:rPr>
      </w:pPr>
      <w:r w:rsidRPr="00871C8E">
        <w:rPr>
          <w:rFonts w:ascii="Arial" w:hAnsi="Arial"/>
          <w:sz w:val="22"/>
          <w:szCs w:val="22"/>
        </w:rPr>
        <w:t xml:space="preserve">The </w:t>
      </w:r>
      <w:r>
        <w:rPr>
          <w:rFonts w:ascii="Arial" w:hAnsi="Arial"/>
          <w:sz w:val="22"/>
          <w:szCs w:val="22"/>
        </w:rPr>
        <w:t xml:space="preserve">next meeting will be held at 10.15 am on Tuesday </w:t>
      </w:r>
      <w:r w:rsidR="00FA6AA4">
        <w:rPr>
          <w:rFonts w:ascii="Arial" w:hAnsi="Arial"/>
          <w:sz w:val="22"/>
          <w:szCs w:val="22"/>
        </w:rPr>
        <w:t>1</w:t>
      </w:r>
      <w:r w:rsidR="00FA6AA4" w:rsidRPr="00FA6AA4">
        <w:rPr>
          <w:rFonts w:ascii="Arial" w:hAnsi="Arial"/>
          <w:sz w:val="22"/>
          <w:szCs w:val="22"/>
          <w:vertAlign w:val="superscript"/>
        </w:rPr>
        <w:t>st</w:t>
      </w:r>
      <w:r w:rsidR="00FA6AA4">
        <w:rPr>
          <w:rFonts w:ascii="Arial" w:hAnsi="Arial"/>
          <w:sz w:val="22"/>
          <w:szCs w:val="22"/>
        </w:rPr>
        <w:t xml:space="preserve"> Dec</w:t>
      </w:r>
      <w:r w:rsidR="00401725">
        <w:rPr>
          <w:rFonts w:ascii="Arial" w:hAnsi="Arial"/>
          <w:sz w:val="22"/>
          <w:szCs w:val="22"/>
        </w:rPr>
        <w:t>ember</w:t>
      </w:r>
      <w:r>
        <w:rPr>
          <w:rFonts w:ascii="Arial" w:hAnsi="Arial"/>
          <w:sz w:val="22"/>
          <w:szCs w:val="22"/>
        </w:rPr>
        <w:t>.</w:t>
      </w:r>
    </w:p>
    <w:p w:rsidR="00955CF9" w:rsidRDefault="00955CF9" w:rsidP="00F37026">
      <w:pPr>
        <w:jc w:val="both"/>
        <w:rPr>
          <w:rFonts w:ascii="Arial" w:hAnsi="Arial"/>
          <w:b/>
          <w:sz w:val="22"/>
          <w:szCs w:val="22"/>
          <w:u w:val="single"/>
        </w:rPr>
      </w:pPr>
    </w:p>
    <w:p w:rsidR="00B96220" w:rsidRDefault="00B96220" w:rsidP="00F37026">
      <w:pPr>
        <w:jc w:val="both"/>
        <w:rPr>
          <w:rFonts w:ascii="Arial" w:hAnsi="Arial"/>
          <w:sz w:val="22"/>
          <w:szCs w:val="22"/>
        </w:rPr>
      </w:pPr>
    </w:p>
    <w:p w:rsidR="00C2174C" w:rsidRPr="00ED2E54" w:rsidRDefault="00C2174C" w:rsidP="00F37026">
      <w:pPr>
        <w:jc w:val="both"/>
        <w:rPr>
          <w:rFonts w:ascii="Arial" w:hAnsi="Arial"/>
          <w:sz w:val="22"/>
          <w:szCs w:val="22"/>
        </w:rPr>
      </w:pPr>
    </w:p>
    <w:p w:rsidR="0071094A" w:rsidRPr="00ED2E54" w:rsidRDefault="00FA6AA4" w:rsidP="00F37026">
      <w:pPr>
        <w:jc w:val="both"/>
        <w:rPr>
          <w:rFonts w:ascii="Arial" w:hAnsi="Arial"/>
          <w:sz w:val="22"/>
          <w:szCs w:val="22"/>
        </w:rPr>
      </w:pPr>
      <w:r>
        <w:rPr>
          <w:rFonts w:ascii="Arial" w:hAnsi="Arial"/>
          <w:sz w:val="22"/>
          <w:szCs w:val="22"/>
        </w:rPr>
        <w:t>4</w:t>
      </w:r>
      <w:r w:rsidRPr="00FA6AA4">
        <w:rPr>
          <w:rFonts w:ascii="Arial" w:hAnsi="Arial"/>
          <w:sz w:val="22"/>
          <w:szCs w:val="22"/>
          <w:vertAlign w:val="superscript"/>
        </w:rPr>
        <w:t>th</w:t>
      </w:r>
      <w:r>
        <w:rPr>
          <w:rFonts w:ascii="Arial" w:hAnsi="Arial"/>
          <w:sz w:val="22"/>
          <w:szCs w:val="22"/>
        </w:rPr>
        <w:t xml:space="preserve"> November</w:t>
      </w:r>
      <w:r w:rsidR="00C96C12">
        <w:rPr>
          <w:rFonts w:ascii="Arial" w:hAnsi="Arial"/>
          <w:sz w:val="22"/>
          <w:szCs w:val="22"/>
        </w:rPr>
        <w:t xml:space="preserve"> 2015</w:t>
      </w:r>
    </w:p>
    <w:sectPr w:rsidR="0071094A" w:rsidRPr="00ED2E54">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C80" w:rsidRDefault="00552C80">
      <w:r>
        <w:separator/>
      </w:r>
    </w:p>
  </w:endnote>
  <w:endnote w:type="continuationSeparator" w:id="0">
    <w:p w:rsidR="00552C80" w:rsidRDefault="0055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C80" w:rsidRDefault="00552C80">
      <w:r>
        <w:separator/>
      </w:r>
    </w:p>
  </w:footnote>
  <w:footnote w:type="continuationSeparator" w:id="0">
    <w:p w:rsidR="00552C80" w:rsidRDefault="00552C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4D5B"/>
    <w:multiLevelType w:val="hybridMultilevel"/>
    <w:tmpl w:val="A5CCF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B3379"/>
    <w:multiLevelType w:val="hybridMultilevel"/>
    <w:tmpl w:val="B0D0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F3F45"/>
    <w:multiLevelType w:val="hybridMultilevel"/>
    <w:tmpl w:val="FD5A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25951"/>
    <w:multiLevelType w:val="hybridMultilevel"/>
    <w:tmpl w:val="729E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93F37"/>
    <w:multiLevelType w:val="hybridMultilevel"/>
    <w:tmpl w:val="DFF0A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E5179"/>
    <w:multiLevelType w:val="hybridMultilevel"/>
    <w:tmpl w:val="A746A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907F5"/>
    <w:multiLevelType w:val="hybridMultilevel"/>
    <w:tmpl w:val="FD52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16549"/>
    <w:multiLevelType w:val="hybridMultilevel"/>
    <w:tmpl w:val="DF382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591265"/>
    <w:multiLevelType w:val="hybridMultilevel"/>
    <w:tmpl w:val="B284F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C04F1"/>
    <w:multiLevelType w:val="hybridMultilevel"/>
    <w:tmpl w:val="8BC45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E3347D"/>
    <w:multiLevelType w:val="hybridMultilevel"/>
    <w:tmpl w:val="DC427CB6"/>
    <w:lvl w:ilvl="0" w:tplc="8AB4C69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01218A"/>
    <w:multiLevelType w:val="hybridMultilevel"/>
    <w:tmpl w:val="AF0C0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FD55CC"/>
    <w:multiLevelType w:val="hybridMultilevel"/>
    <w:tmpl w:val="5AE8F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D35C90"/>
    <w:multiLevelType w:val="hybridMultilevel"/>
    <w:tmpl w:val="AC863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521CC1"/>
    <w:multiLevelType w:val="hybridMultilevel"/>
    <w:tmpl w:val="8F308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EE62C3"/>
    <w:multiLevelType w:val="hybridMultilevel"/>
    <w:tmpl w:val="61BE3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AF79AB"/>
    <w:multiLevelType w:val="hybridMultilevel"/>
    <w:tmpl w:val="CD221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31343A"/>
    <w:multiLevelType w:val="hybridMultilevel"/>
    <w:tmpl w:val="B4048C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E891090"/>
    <w:multiLevelType w:val="hybridMultilevel"/>
    <w:tmpl w:val="37485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566170"/>
    <w:multiLevelType w:val="hybridMultilevel"/>
    <w:tmpl w:val="0360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F7673A"/>
    <w:multiLevelType w:val="hybridMultilevel"/>
    <w:tmpl w:val="04A8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42439C"/>
    <w:multiLevelType w:val="hybridMultilevel"/>
    <w:tmpl w:val="DC9860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4226E9"/>
    <w:multiLevelType w:val="hybridMultilevel"/>
    <w:tmpl w:val="6D1A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8E27BE"/>
    <w:multiLevelType w:val="hybridMultilevel"/>
    <w:tmpl w:val="A5C8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6E198A"/>
    <w:multiLevelType w:val="hybridMultilevel"/>
    <w:tmpl w:val="DAF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8F7A00"/>
    <w:multiLevelType w:val="hybridMultilevel"/>
    <w:tmpl w:val="5E92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8824D0"/>
    <w:multiLevelType w:val="hybridMultilevel"/>
    <w:tmpl w:val="1388B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9"/>
  </w:num>
  <w:num w:numId="4">
    <w:abstractNumId w:val="18"/>
  </w:num>
  <w:num w:numId="5">
    <w:abstractNumId w:val="22"/>
  </w:num>
  <w:num w:numId="6">
    <w:abstractNumId w:val="14"/>
  </w:num>
  <w:num w:numId="7">
    <w:abstractNumId w:val="16"/>
  </w:num>
  <w:num w:numId="8">
    <w:abstractNumId w:val="5"/>
  </w:num>
  <w:num w:numId="9">
    <w:abstractNumId w:val="23"/>
  </w:num>
  <w:num w:numId="10">
    <w:abstractNumId w:val="2"/>
  </w:num>
  <w:num w:numId="11">
    <w:abstractNumId w:val="13"/>
  </w:num>
  <w:num w:numId="12">
    <w:abstractNumId w:val="25"/>
  </w:num>
  <w:num w:numId="13">
    <w:abstractNumId w:val="26"/>
  </w:num>
  <w:num w:numId="14">
    <w:abstractNumId w:val="24"/>
  </w:num>
  <w:num w:numId="15">
    <w:abstractNumId w:val="6"/>
  </w:num>
  <w:num w:numId="16">
    <w:abstractNumId w:val="15"/>
  </w:num>
  <w:num w:numId="17">
    <w:abstractNumId w:val="10"/>
  </w:num>
  <w:num w:numId="18">
    <w:abstractNumId w:val="4"/>
  </w:num>
  <w:num w:numId="19">
    <w:abstractNumId w:val="0"/>
  </w:num>
  <w:num w:numId="20">
    <w:abstractNumId w:val="8"/>
  </w:num>
  <w:num w:numId="21">
    <w:abstractNumId w:val="12"/>
  </w:num>
  <w:num w:numId="22">
    <w:abstractNumId w:val="7"/>
  </w:num>
  <w:num w:numId="23">
    <w:abstractNumId w:val="9"/>
  </w:num>
  <w:num w:numId="24">
    <w:abstractNumId w:val="11"/>
  </w:num>
  <w:num w:numId="25">
    <w:abstractNumId w:val="21"/>
  </w:num>
  <w:num w:numId="26">
    <w:abstractNumId w:val="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ED2E54"/>
    <w:rsid w:val="00001B85"/>
    <w:rsid w:val="000141FC"/>
    <w:rsid w:val="00021F2B"/>
    <w:rsid w:val="00022E9A"/>
    <w:rsid w:val="0002476D"/>
    <w:rsid w:val="00040DA8"/>
    <w:rsid w:val="0005051B"/>
    <w:rsid w:val="00052209"/>
    <w:rsid w:val="00054FF4"/>
    <w:rsid w:val="00061DEA"/>
    <w:rsid w:val="00072350"/>
    <w:rsid w:val="00074455"/>
    <w:rsid w:val="000831A5"/>
    <w:rsid w:val="00091320"/>
    <w:rsid w:val="00091BF5"/>
    <w:rsid w:val="000B453F"/>
    <w:rsid w:val="000C7B0A"/>
    <w:rsid w:val="000D0545"/>
    <w:rsid w:val="000D5E7D"/>
    <w:rsid w:val="000D695C"/>
    <w:rsid w:val="000E6CE8"/>
    <w:rsid w:val="000E7CFD"/>
    <w:rsid w:val="000F1D64"/>
    <w:rsid w:val="00107BF9"/>
    <w:rsid w:val="00114615"/>
    <w:rsid w:val="0012693A"/>
    <w:rsid w:val="00150884"/>
    <w:rsid w:val="00156AA7"/>
    <w:rsid w:val="00171528"/>
    <w:rsid w:val="001920D0"/>
    <w:rsid w:val="00195861"/>
    <w:rsid w:val="001959C3"/>
    <w:rsid w:val="001A373E"/>
    <w:rsid w:val="001A5DBF"/>
    <w:rsid w:val="001B565F"/>
    <w:rsid w:val="001C55DE"/>
    <w:rsid w:val="001C5CD6"/>
    <w:rsid w:val="001D38B3"/>
    <w:rsid w:val="001D509E"/>
    <w:rsid w:val="001E0855"/>
    <w:rsid w:val="001F7CD0"/>
    <w:rsid w:val="00201408"/>
    <w:rsid w:val="00204884"/>
    <w:rsid w:val="00211ADF"/>
    <w:rsid w:val="002162A1"/>
    <w:rsid w:val="00216304"/>
    <w:rsid w:val="0023633E"/>
    <w:rsid w:val="0024580F"/>
    <w:rsid w:val="00251117"/>
    <w:rsid w:val="002624A0"/>
    <w:rsid w:val="00286C2E"/>
    <w:rsid w:val="002A57F1"/>
    <w:rsid w:val="002B3A0C"/>
    <w:rsid w:val="002B6C36"/>
    <w:rsid w:val="002C26AE"/>
    <w:rsid w:val="002C32BA"/>
    <w:rsid w:val="002D30D6"/>
    <w:rsid w:val="002D3951"/>
    <w:rsid w:val="002E0111"/>
    <w:rsid w:val="002E71A8"/>
    <w:rsid w:val="0030123A"/>
    <w:rsid w:val="00301307"/>
    <w:rsid w:val="00301DB1"/>
    <w:rsid w:val="003069A6"/>
    <w:rsid w:val="00314416"/>
    <w:rsid w:val="00332D29"/>
    <w:rsid w:val="00344A84"/>
    <w:rsid w:val="00351749"/>
    <w:rsid w:val="0035189D"/>
    <w:rsid w:val="00356030"/>
    <w:rsid w:val="003575A2"/>
    <w:rsid w:val="003654DD"/>
    <w:rsid w:val="00373DA3"/>
    <w:rsid w:val="00391339"/>
    <w:rsid w:val="003A4C98"/>
    <w:rsid w:val="003A7E10"/>
    <w:rsid w:val="003B4ADD"/>
    <w:rsid w:val="003C0E0C"/>
    <w:rsid w:val="003D1217"/>
    <w:rsid w:val="003D6FEB"/>
    <w:rsid w:val="003E001B"/>
    <w:rsid w:val="003E75B0"/>
    <w:rsid w:val="003F2E11"/>
    <w:rsid w:val="00401725"/>
    <w:rsid w:val="00407319"/>
    <w:rsid w:val="00411046"/>
    <w:rsid w:val="00411423"/>
    <w:rsid w:val="00415BBE"/>
    <w:rsid w:val="00417F2D"/>
    <w:rsid w:val="00421C25"/>
    <w:rsid w:val="0044596C"/>
    <w:rsid w:val="00450B7C"/>
    <w:rsid w:val="0045392A"/>
    <w:rsid w:val="00476E6D"/>
    <w:rsid w:val="004813BD"/>
    <w:rsid w:val="0048554C"/>
    <w:rsid w:val="00486019"/>
    <w:rsid w:val="004A17FF"/>
    <w:rsid w:val="004A4678"/>
    <w:rsid w:val="004A6498"/>
    <w:rsid w:val="004A64C6"/>
    <w:rsid w:val="004A7986"/>
    <w:rsid w:val="004B25F4"/>
    <w:rsid w:val="004C1475"/>
    <w:rsid w:val="004C3A5F"/>
    <w:rsid w:val="004D1C78"/>
    <w:rsid w:val="004D48ED"/>
    <w:rsid w:val="004F0095"/>
    <w:rsid w:val="004F260D"/>
    <w:rsid w:val="004F36E2"/>
    <w:rsid w:val="00501959"/>
    <w:rsid w:val="00522553"/>
    <w:rsid w:val="00524F73"/>
    <w:rsid w:val="005254E0"/>
    <w:rsid w:val="005340A5"/>
    <w:rsid w:val="0055132A"/>
    <w:rsid w:val="00552C80"/>
    <w:rsid w:val="00554BA6"/>
    <w:rsid w:val="005631FC"/>
    <w:rsid w:val="0056701A"/>
    <w:rsid w:val="00580151"/>
    <w:rsid w:val="00584DFF"/>
    <w:rsid w:val="005871FA"/>
    <w:rsid w:val="00587BE3"/>
    <w:rsid w:val="00592E77"/>
    <w:rsid w:val="005935DE"/>
    <w:rsid w:val="005939C9"/>
    <w:rsid w:val="00594A9C"/>
    <w:rsid w:val="005A433A"/>
    <w:rsid w:val="005B19AB"/>
    <w:rsid w:val="005B6554"/>
    <w:rsid w:val="005E1965"/>
    <w:rsid w:val="005E1FFF"/>
    <w:rsid w:val="005E23C4"/>
    <w:rsid w:val="005F2599"/>
    <w:rsid w:val="005F3911"/>
    <w:rsid w:val="005F6C18"/>
    <w:rsid w:val="00602DF6"/>
    <w:rsid w:val="00603B09"/>
    <w:rsid w:val="006046C6"/>
    <w:rsid w:val="00606AE7"/>
    <w:rsid w:val="00613FA4"/>
    <w:rsid w:val="00630898"/>
    <w:rsid w:val="00632E46"/>
    <w:rsid w:val="00656054"/>
    <w:rsid w:val="00661C16"/>
    <w:rsid w:val="00664770"/>
    <w:rsid w:val="00667031"/>
    <w:rsid w:val="006670ED"/>
    <w:rsid w:val="006704DA"/>
    <w:rsid w:val="00673447"/>
    <w:rsid w:val="006A6CBD"/>
    <w:rsid w:val="006C1B65"/>
    <w:rsid w:val="006C3D18"/>
    <w:rsid w:val="006D0E71"/>
    <w:rsid w:val="006E539F"/>
    <w:rsid w:val="0071094A"/>
    <w:rsid w:val="00726F28"/>
    <w:rsid w:val="007301D1"/>
    <w:rsid w:val="00737B6F"/>
    <w:rsid w:val="00742F9F"/>
    <w:rsid w:val="00756618"/>
    <w:rsid w:val="007626AB"/>
    <w:rsid w:val="00763D51"/>
    <w:rsid w:val="007752FA"/>
    <w:rsid w:val="00782C4E"/>
    <w:rsid w:val="007867F3"/>
    <w:rsid w:val="00792437"/>
    <w:rsid w:val="007A7135"/>
    <w:rsid w:val="007A761D"/>
    <w:rsid w:val="007B42C1"/>
    <w:rsid w:val="007C2A71"/>
    <w:rsid w:val="007D0E87"/>
    <w:rsid w:val="008231E0"/>
    <w:rsid w:val="00823A30"/>
    <w:rsid w:val="008328AC"/>
    <w:rsid w:val="00842D76"/>
    <w:rsid w:val="00854F54"/>
    <w:rsid w:val="00857D7B"/>
    <w:rsid w:val="00857EBE"/>
    <w:rsid w:val="00860808"/>
    <w:rsid w:val="00860FB6"/>
    <w:rsid w:val="00871C8E"/>
    <w:rsid w:val="00876F9B"/>
    <w:rsid w:val="00883FDD"/>
    <w:rsid w:val="00887F5E"/>
    <w:rsid w:val="00890EF1"/>
    <w:rsid w:val="0089272A"/>
    <w:rsid w:val="008A27F5"/>
    <w:rsid w:val="008B1216"/>
    <w:rsid w:val="008B691A"/>
    <w:rsid w:val="008C6AED"/>
    <w:rsid w:val="008D5121"/>
    <w:rsid w:val="008D59DE"/>
    <w:rsid w:val="008F09F4"/>
    <w:rsid w:val="00902283"/>
    <w:rsid w:val="00910914"/>
    <w:rsid w:val="00912432"/>
    <w:rsid w:val="0092083B"/>
    <w:rsid w:val="0092331B"/>
    <w:rsid w:val="00923AF5"/>
    <w:rsid w:val="00924AEC"/>
    <w:rsid w:val="009309BF"/>
    <w:rsid w:val="00936C46"/>
    <w:rsid w:val="0093797D"/>
    <w:rsid w:val="00940707"/>
    <w:rsid w:val="00952C18"/>
    <w:rsid w:val="00955328"/>
    <w:rsid w:val="00955CF9"/>
    <w:rsid w:val="00960B5E"/>
    <w:rsid w:val="0096436E"/>
    <w:rsid w:val="0098212E"/>
    <w:rsid w:val="00994B6B"/>
    <w:rsid w:val="009A002C"/>
    <w:rsid w:val="009A0E06"/>
    <w:rsid w:val="009B1020"/>
    <w:rsid w:val="009B4845"/>
    <w:rsid w:val="009C29B7"/>
    <w:rsid w:val="009C6B82"/>
    <w:rsid w:val="009D3537"/>
    <w:rsid w:val="009D67FD"/>
    <w:rsid w:val="009F385C"/>
    <w:rsid w:val="009F5A6B"/>
    <w:rsid w:val="00A17C34"/>
    <w:rsid w:val="00A24825"/>
    <w:rsid w:val="00A4176C"/>
    <w:rsid w:val="00A43649"/>
    <w:rsid w:val="00A459A8"/>
    <w:rsid w:val="00A47EC0"/>
    <w:rsid w:val="00A5284E"/>
    <w:rsid w:val="00A53518"/>
    <w:rsid w:val="00A55176"/>
    <w:rsid w:val="00A67FAB"/>
    <w:rsid w:val="00A74CA1"/>
    <w:rsid w:val="00A75D6B"/>
    <w:rsid w:val="00A81185"/>
    <w:rsid w:val="00A93663"/>
    <w:rsid w:val="00A9404F"/>
    <w:rsid w:val="00AA2D4A"/>
    <w:rsid w:val="00AB2564"/>
    <w:rsid w:val="00AB3EB9"/>
    <w:rsid w:val="00AB630B"/>
    <w:rsid w:val="00AF04E7"/>
    <w:rsid w:val="00AF067D"/>
    <w:rsid w:val="00AF0A81"/>
    <w:rsid w:val="00AF32AC"/>
    <w:rsid w:val="00AF5BC6"/>
    <w:rsid w:val="00B0402B"/>
    <w:rsid w:val="00B07D87"/>
    <w:rsid w:val="00B16C44"/>
    <w:rsid w:val="00B17E7C"/>
    <w:rsid w:val="00B44530"/>
    <w:rsid w:val="00B47114"/>
    <w:rsid w:val="00B506EA"/>
    <w:rsid w:val="00B52366"/>
    <w:rsid w:val="00B6312C"/>
    <w:rsid w:val="00B669D2"/>
    <w:rsid w:val="00B67F66"/>
    <w:rsid w:val="00B704F9"/>
    <w:rsid w:val="00B80934"/>
    <w:rsid w:val="00B81F13"/>
    <w:rsid w:val="00B85CE9"/>
    <w:rsid w:val="00B96220"/>
    <w:rsid w:val="00BB56BC"/>
    <w:rsid w:val="00BC0DD7"/>
    <w:rsid w:val="00BD01BA"/>
    <w:rsid w:val="00BD0E1C"/>
    <w:rsid w:val="00BD3F57"/>
    <w:rsid w:val="00BF2FC5"/>
    <w:rsid w:val="00BF6A5C"/>
    <w:rsid w:val="00BF72BB"/>
    <w:rsid w:val="00C04DAF"/>
    <w:rsid w:val="00C109E3"/>
    <w:rsid w:val="00C13378"/>
    <w:rsid w:val="00C2174C"/>
    <w:rsid w:val="00C27E10"/>
    <w:rsid w:val="00C40B07"/>
    <w:rsid w:val="00C50E7A"/>
    <w:rsid w:val="00C524A9"/>
    <w:rsid w:val="00C52F31"/>
    <w:rsid w:val="00C55633"/>
    <w:rsid w:val="00C61F5F"/>
    <w:rsid w:val="00C65D89"/>
    <w:rsid w:val="00C83112"/>
    <w:rsid w:val="00C968BD"/>
    <w:rsid w:val="00C96C12"/>
    <w:rsid w:val="00C97559"/>
    <w:rsid w:val="00CA091D"/>
    <w:rsid w:val="00CA4443"/>
    <w:rsid w:val="00CA44F2"/>
    <w:rsid w:val="00CC1C5C"/>
    <w:rsid w:val="00CC5ED2"/>
    <w:rsid w:val="00CC70BE"/>
    <w:rsid w:val="00CD0422"/>
    <w:rsid w:val="00CD2690"/>
    <w:rsid w:val="00CD3FB1"/>
    <w:rsid w:val="00CD5E9F"/>
    <w:rsid w:val="00CE0CC1"/>
    <w:rsid w:val="00CE5AFC"/>
    <w:rsid w:val="00CF4077"/>
    <w:rsid w:val="00D070F9"/>
    <w:rsid w:val="00D10CC9"/>
    <w:rsid w:val="00D23D05"/>
    <w:rsid w:val="00D327F9"/>
    <w:rsid w:val="00D40507"/>
    <w:rsid w:val="00D5514E"/>
    <w:rsid w:val="00D56F0E"/>
    <w:rsid w:val="00D57D50"/>
    <w:rsid w:val="00D60C5E"/>
    <w:rsid w:val="00D62522"/>
    <w:rsid w:val="00D70D4C"/>
    <w:rsid w:val="00D966B3"/>
    <w:rsid w:val="00DA52DD"/>
    <w:rsid w:val="00DB0891"/>
    <w:rsid w:val="00DB1A20"/>
    <w:rsid w:val="00DB3424"/>
    <w:rsid w:val="00DC624D"/>
    <w:rsid w:val="00E03A48"/>
    <w:rsid w:val="00E1219A"/>
    <w:rsid w:val="00E12935"/>
    <w:rsid w:val="00E26C87"/>
    <w:rsid w:val="00E2790A"/>
    <w:rsid w:val="00E317B0"/>
    <w:rsid w:val="00E5458B"/>
    <w:rsid w:val="00E57B49"/>
    <w:rsid w:val="00E638B4"/>
    <w:rsid w:val="00E6454A"/>
    <w:rsid w:val="00E7011C"/>
    <w:rsid w:val="00E742CD"/>
    <w:rsid w:val="00E749FB"/>
    <w:rsid w:val="00E75CDC"/>
    <w:rsid w:val="00E85869"/>
    <w:rsid w:val="00E91EE5"/>
    <w:rsid w:val="00EB46CE"/>
    <w:rsid w:val="00EC28E5"/>
    <w:rsid w:val="00ED2E54"/>
    <w:rsid w:val="00ED3AB3"/>
    <w:rsid w:val="00ED4F2D"/>
    <w:rsid w:val="00ED54A7"/>
    <w:rsid w:val="00F060B1"/>
    <w:rsid w:val="00F15974"/>
    <w:rsid w:val="00F36C7E"/>
    <w:rsid w:val="00F37026"/>
    <w:rsid w:val="00F37CCA"/>
    <w:rsid w:val="00F45140"/>
    <w:rsid w:val="00F62EA2"/>
    <w:rsid w:val="00F644E3"/>
    <w:rsid w:val="00F7069A"/>
    <w:rsid w:val="00F766DB"/>
    <w:rsid w:val="00F90013"/>
    <w:rsid w:val="00F9477F"/>
    <w:rsid w:val="00FA0B25"/>
    <w:rsid w:val="00FA1947"/>
    <w:rsid w:val="00FA53BB"/>
    <w:rsid w:val="00FA5D19"/>
    <w:rsid w:val="00FA6AA4"/>
    <w:rsid w:val="00FB1D2A"/>
    <w:rsid w:val="00FD00BA"/>
    <w:rsid w:val="00FD2615"/>
    <w:rsid w:val="00FD6C3B"/>
    <w:rsid w:val="00FE24D1"/>
    <w:rsid w:val="00FF3562"/>
    <w:rsid w:val="00FF38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docId w15:val="{2B091ACC-4E05-41B8-AECD-6E3C9E05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kern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C78"/>
    <w:pPr>
      <w:ind w:left="720"/>
      <w:contextualSpacing/>
    </w:pPr>
  </w:style>
  <w:style w:type="character" w:styleId="Hyperlink">
    <w:name w:val="Hyperlink"/>
    <w:basedOn w:val="DefaultParagraphFont"/>
    <w:uiPriority w:val="99"/>
    <w:semiHidden/>
    <w:unhideWhenUsed/>
    <w:rsid w:val="005F2599"/>
    <w:rPr>
      <w:color w:val="0000FF" w:themeColor="hyperlink"/>
      <w:u w:val="single"/>
    </w:rPr>
  </w:style>
  <w:style w:type="paragraph" w:customStyle="1" w:styleId="ColorfulList-Accent11">
    <w:name w:val="Colorful List - Accent 11"/>
    <w:rsid w:val="003575A2"/>
    <w:pPr>
      <w:widowControl w:val="0"/>
      <w:pBdr>
        <w:top w:val="nil"/>
        <w:left w:val="nil"/>
        <w:bottom w:val="nil"/>
        <w:right w:val="nil"/>
        <w:between w:val="nil"/>
        <w:bar w:val="nil"/>
      </w:pBdr>
      <w:ind w:left="720"/>
    </w:pPr>
    <w:rPr>
      <w:color w:val="000000"/>
      <w:kern w:val="28"/>
      <w:u w:color="000000"/>
      <w:bdr w:val="nil"/>
      <w:lang w:val="en-US" w:eastAsia="en-GB"/>
    </w:rPr>
  </w:style>
  <w:style w:type="paragraph" w:customStyle="1" w:styleId="Body">
    <w:name w:val="Body"/>
    <w:rsid w:val="00902283"/>
    <w:pPr>
      <w:pBdr>
        <w:top w:val="nil"/>
        <w:left w:val="nil"/>
        <w:bottom w:val="nil"/>
        <w:right w:val="nil"/>
        <w:between w:val="nil"/>
        <w:bar w:val="nil"/>
      </w:pBdr>
    </w:pPr>
    <w:rPr>
      <w:color w:val="000000"/>
      <w:sz w:val="24"/>
      <w:szCs w:val="24"/>
      <w:u w:color="000000"/>
      <w:bdr w:val="nil"/>
      <w:lang w:eastAsia="en-GB"/>
    </w:rPr>
  </w:style>
  <w:style w:type="paragraph" w:styleId="BalloonText">
    <w:name w:val="Balloon Text"/>
    <w:basedOn w:val="Normal"/>
    <w:link w:val="BalloonTextChar"/>
    <w:uiPriority w:val="99"/>
    <w:semiHidden/>
    <w:unhideWhenUsed/>
    <w:rsid w:val="00FD6C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C3B"/>
    <w:rPr>
      <w:rFonts w:ascii="Segoe UI" w:hAnsi="Segoe UI" w:cs="Segoe UI"/>
      <w:kern w:val="28"/>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Peter Owen</cp:lastModifiedBy>
  <cp:revision>2</cp:revision>
  <cp:lastPrinted>2015-10-06T21:21:00Z</cp:lastPrinted>
  <dcterms:created xsi:type="dcterms:W3CDTF">2015-11-05T12:27:00Z</dcterms:created>
  <dcterms:modified xsi:type="dcterms:W3CDTF">2015-11-05T12:27:00Z</dcterms:modified>
</cp:coreProperties>
</file>