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20" w:rsidRDefault="009B1020" w:rsidP="009B1020">
      <w:pPr>
        <w:tabs>
          <w:tab w:val="left" w:pos="284"/>
        </w:tabs>
        <w:jc w:val="both"/>
        <w:rPr>
          <w:rFonts w:ascii="Arial" w:hAnsi="Arial"/>
          <w:sz w:val="22"/>
          <w:szCs w:val="22"/>
        </w:rPr>
      </w:pPr>
    </w:p>
    <w:p w:rsidR="00830EC6" w:rsidRDefault="00830EC6" w:rsidP="00830EC6">
      <w:pPr>
        <w:pStyle w:val="Body"/>
        <w:widowControl w:val="0"/>
        <w:jc w:val="center"/>
        <w:rPr>
          <w:rFonts w:ascii="Arial"/>
          <w:b/>
          <w:bCs/>
          <w:lang w:val="en-US"/>
        </w:rPr>
      </w:pPr>
    </w:p>
    <w:p w:rsidR="00830EC6" w:rsidRDefault="00830EC6" w:rsidP="00830EC6">
      <w:pPr>
        <w:pStyle w:val="Body"/>
        <w:widowControl w:val="0"/>
        <w:jc w:val="center"/>
        <w:rPr>
          <w:rFonts w:ascii="Arial"/>
          <w:b/>
          <w:bCs/>
        </w:rPr>
      </w:pPr>
      <w:r>
        <w:rPr>
          <w:rFonts w:ascii="Arial"/>
          <w:b/>
          <w:bCs/>
        </w:rPr>
        <w:t xml:space="preserve">Written Evidence from the Better Government Initiative to </w:t>
      </w:r>
    </w:p>
    <w:p w:rsidR="00830EC6" w:rsidRDefault="00830EC6" w:rsidP="00830EC6">
      <w:pPr>
        <w:pStyle w:val="Body"/>
        <w:widowControl w:val="0"/>
        <w:jc w:val="center"/>
        <w:rPr>
          <w:rFonts w:ascii="Arial" w:eastAsia="Arial" w:hAnsi="Arial" w:cs="Arial"/>
        </w:rPr>
      </w:pPr>
      <w:r>
        <w:rPr>
          <w:rFonts w:ascii="Arial"/>
          <w:b/>
          <w:bCs/>
        </w:rPr>
        <w:t xml:space="preserve">the </w:t>
      </w:r>
      <w:r w:rsidRPr="00830EC6">
        <w:rPr>
          <w:rFonts w:ascii="Arial"/>
          <w:b/>
          <w:bCs/>
          <w:lang w:val="en-US"/>
        </w:rPr>
        <w:t>Independent Commission on Freedom of Information</w:t>
      </w:r>
    </w:p>
    <w:p w:rsidR="00830EC6" w:rsidRDefault="00830EC6" w:rsidP="00830EC6">
      <w:pPr>
        <w:pStyle w:val="Body"/>
        <w:widowControl w:val="0"/>
        <w:jc w:val="both"/>
        <w:rPr>
          <w:rFonts w:ascii="Arial" w:eastAsia="Arial" w:hAnsi="Arial" w:cs="Arial"/>
        </w:rPr>
      </w:pPr>
    </w:p>
    <w:p w:rsidR="00830EC6" w:rsidRDefault="00830EC6" w:rsidP="00830EC6">
      <w:pPr>
        <w:pStyle w:val="Body"/>
        <w:widowControl w:val="0"/>
        <w:jc w:val="both"/>
        <w:rPr>
          <w:rFonts w:ascii="Arial" w:eastAsia="Arial" w:hAnsi="Arial" w:cs="Arial"/>
        </w:rPr>
      </w:pPr>
    </w:p>
    <w:p w:rsidR="00830EC6" w:rsidRDefault="00830EC6" w:rsidP="00830EC6">
      <w:pPr>
        <w:pStyle w:val="Body"/>
        <w:widowControl w:val="0"/>
        <w:jc w:val="both"/>
        <w:rPr>
          <w:rFonts w:ascii="Arial" w:eastAsia="Arial" w:hAnsi="Arial" w:cs="Arial"/>
        </w:rPr>
      </w:pPr>
    </w:p>
    <w:p w:rsidR="005879B1" w:rsidRPr="005879B1" w:rsidRDefault="00830EC6" w:rsidP="005879B1">
      <w:pPr>
        <w:pStyle w:val="ListParagraph"/>
        <w:widowControl/>
        <w:numPr>
          <w:ilvl w:val="0"/>
          <w:numId w:val="29"/>
        </w:numPr>
        <w:overflowPunct/>
        <w:autoSpaceDE/>
        <w:autoSpaceDN/>
        <w:adjustRightInd/>
        <w:spacing w:after="120"/>
        <w:contextualSpacing w:val="0"/>
        <w:jc w:val="both"/>
        <w:textAlignment w:val="auto"/>
        <w:rPr>
          <w:rFonts w:ascii="Arial" w:eastAsia="Arial" w:hAnsi="Arial" w:cs="Arial"/>
          <w:sz w:val="22"/>
          <w:szCs w:val="22"/>
        </w:rPr>
      </w:pPr>
      <w:r w:rsidRPr="00830EC6">
        <w:rPr>
          <w:rFonts w:ascii="Arial" w:hAnsi="Arial" w:cs="Arial"/>
          <w:sz w:val="22"/>
          <w:szCs w:val="22"/>
        </w:rPr>
        <w:t>The Better Government Initiative (BGI) is an informal body made up of people with practical experience in government at a very senior level who have no links to particular political parties (</w:t>
      </w:r>
      <w:hyperlink r:id="rId7" w:history="1">
        <w:r w:rsidRPr="00830EC6">
          <w:rPr>
            <w:rStyle w:val="Hyperlink0"/>
            <w:sz w:val="22"/>
            <w:szCs w:val="22"/>
          </w:rPr>
          <w:t>www.bettergovernmentinitiative.co.uk</w:t>
        </w:r>
      </w:hyperlink>
      <w:r w:rsidRPr="00830EC6">
        <w:rPr>
          <w:rFonts w:ascii="Arial" w:hAnsi="Arial" w:cs="Arial"/>
          <w:sz w:val="22"/>
          <w:szCs w:val="22"/>
        </w:rPr>
        <w:t xml:space="preserve">). </w:t>
      </w:r>
      <w:r>
        <w:rPr>
          <w:rFonts w:ascii="Arial" w:hAnsi="Arial" w:cs="Arial"/>
          <w:sz w:val="22"/>
          <w:szCs w:val="22"/>
        </w:rPr>
        <w:t xml:space="preserve">In the light of the background and experience of our </w:t>
      </w:r>
      <w:r w:rsidR="00152DF4">
        <w:rPr>
          <w:rFonts w:ascii="Arial" w:hAnsi="Arial" w:cs="Arial"/>
          <w:sz w:val="22"/>
          <w:szCs w:val="22"/>
        </w:rPr>
        <w:t>members</w:t>
      </w:r>
      <w:r>
        <w:rPr>
          <w:rFonts w:ascii="Arial" w:hAnsi="Arial" w:cs="Arial"/>
          <w:sz w:val="22"/>
          <w:szCs w:val="22"/>
        </w:rPr>
        <w:t xml:space="preserve"> we would like to focus our evidence </w:t>
      </w:r>
      <w:r w:rsidR="00152DF4">
        <w:rPr>
          <w:rFonts w:ascii="Arial" w:hAnsi="Arial" w:cs="Arial"/>
          <w:sz w:val="22"/>
          <w:szCs w:val="22"/>
        </w:rPr>
        <w:t>principally</w:t>
      </w:r>
      <w:r>
        <w:rPr>
          <w:rFonts w:ascii="Arial" w:hAnsi="Arial" w:cs="Arial"/>
          <w:sz w:val="22"/>
          <w:szCs w:val="22"/>
        </w:rPr>
        <w:t xml:space="preserve"> on civil service advice to ministers</w:t>
      </w:r>
      <w:r w:rsidR="00152DF4">
        <w:rPr>
          <w:rFonts w:ascii="Arial" w:hAnsi="Arial" w:cs="Arial"/>
          <w:sz w:val="22"/>
          <w:szCs w:val="22"/>
        </w:rPr>
        <w:t xml:space="preserve">, in particular </w:t>
      </w:r>
      <w:r w:rsidR="004D5971">
        <w:rPr>
          <w:rFonts w:ascii="Arial" w:hAnsi="Arial" w:cs="Arial"/>
          <w:sz w:val="22"/>
          <w:szCs w:val="22"/>
        </w:rPr>
        <w:t>in relation to Question</w:t>
      </w:r>
      <w:r w:rsidR="00152DF4">
        <w:rPr>
          <w:rFonts w:ascii="Arial" w:hAnsi="Arial" w:cs="Arial"/>
          <w:sz w:val="22"/>
          <w:szCs w:val="22"/>
        </w:rPr>
        <w:t>s</w:t>
      </w:r>
      <w:r w:rsidR="004D5971">
        <w:rPr>
          <w:rFonts w:ascii="Arial" w:hAnsi="Arial" w:cs="Arial"/>
          <w:sz w:val="22"/>
          <w:szCs w:val="22"/>
        </w:rPr>
        <w:t xml:space="preserve"> 1 </w:t>
      </w:r>
      <w:r w:rsidR="00152DF4">
        <w:rPr>
          <w:rFonts w:ascii="Arial" w:hAnsi="Arial" w:cs="Arial"/>
          <w:sz w:val="22"/>
          <w:szCs w:val="22"/>
        </w:rPr>
        <w:t xml:space="preserve">and 3 </w:t>
      </w:r>
      <w:r w:rsidR="004D5971">
        <w:rPr>
          <w:rFonts w:ascii="Arial" w:hAnsi="Arial" w:cs="Arial"/>
          <w:sz w:val="22"/>
          <w:szCs w:val="22"/>
        </w:rPr>
        <w:t>in the call for evidence (</w:t>
      </w:r>
      <w:r w:rsidR="00152DF4">
        <w:rPr>
          <w:rFonts w:ascii="Arial" w:hAnsi="Arial" w:cs="Arial"/>
          <w:sz w:val="22"/>
          <w:szCs w:val="22"/>
        </w:rPr>
        <w:t xml:space="preserve">on </w:t>
      </w:r>
      <w:r w:rsidR="004D5971">
        <w:rPr>
          <w:rFonts w:ascii="Arial" w:hAnsi="Arial" w:cs="Arial"/>
          <w:sz w:val="22"/>
          <w:szCs w:val="22"/>
        </w:rPr>
        <w:t>deliberative space</w:t>
      </w:r>
      <w:r w:rsidR="00152DF4">
        <w:rPr>
          <w:rFonts w:ascii="Arial" w:hAnsi="Arial" w:cs="Arial"/>
          <w:sz w:val="22"/>
          <w:szCs w:val="22"/>
        </w:rPr>
        <w:t xml:space="preserve"> and </w:t>
      </w:r>
      <w:r w:rsidR="004D5971">
        <w:rPr>
          <w:rFonts w:ascii="Arial" w:hAnsi="Arial" w:cs="Arial"/>
          <w:sz w:val="22"/>
          <w:szCs w:val="22"/>
        </w:rPr>
        <w:t>protection for information on assessment of risk)</w:t>
      </w:r>
      <w:r>
        <w:rPr>
          <w:rFonts w:ascii="Arial" w:hAnsi="Arial" w:cs="Arial"/>
          <w:sz w:val="22"/>
          <w:szCs w:val="22"/>
        </w:rPr>
        <w:t>.</w:t>
      </w:r>
    </w:p>
    <w:p w:rsidR="00152DF4" w:rsidRPr="00152DF4" w:rsidRDefault="00152DF4" w:rsidP="00152DF4">
      <w:pPr>
        <w:pStyle w:val="ListParagraph"/>
        <w:widowControl/>
        <w:numPr>
          <w:ilvl w:val="0"/>
          <w:numId w:val="29"/>
        </w:numPr>
        <w:overflowPunct/>
        <w:autoSpaceDE/>
        <w:autoSpaceDN/>
        <w:adjustRightInd/>
        <w:spacing w:after="120"/>
        <w:contextualSpacing w:val="0"/>
        <w:jc w:val="both"/>
        <w:textAlignment w:val="auto"/>
        <w:rPr>
          <w:rFonts w:ascii="Arial" w:eastAsia="Arial" w:hAnsi="Arial" w:cs="Arial"/>
          <w:sz w:val="22"/>
          <w:szCs w:val="22"/>
        </w:rPr>
      </w:pPr>
      <w:r>
        <w:rPr>
          <w:rFonts w:ascii="Arial" w:hAnsi="Arial" w:cs="Arial"/>
          <w:sz w:val="22"/>
          <w:szCs w:val="22"/>
        </w:rPr>
        <w:t xml:space="preserve">The purpose of the BGI is to promote high standards in the processes of government. We lay stress on the need for: </w:t>
      </w:r>
    </w:p>
    <w:p w:rsidR="00152DF4" w:rsidRDefault="00A84CA7" w:rsidP="00BC4790">
      <w:pPr>
        <w:pStyle w:val="ListParagraph"/>
        <w:widowControl/>
        <w:numPr>
          <w:ilvl w:val="0"/>
          <w:numId w:val="30"/>
        </w:numPr>
        <w:overflowPunct/>
        <w:autoSpaceDE/>
        <w:autoSpaceDN/>
        <w:adjustRightInd/>
        <w:spacing w:after="120"/>
        <w:ind w:firstLine="426"/>
        <w:contextualSpacing w:val="0"/>
        <w:jc w:val="both"/>
        <w:textAlignment w:val="auto"/>
        <w:rPr>
          <w:rFonts w:ascii="Arial" w:eastAsia="Arial" w:hAnsi="Arial" w:cs="Arial"/>
          <w:sz w:val="22"/>
          <w:szCs w:val="22"/>
        </w:rPr>
      </w:pPr>
      <w:r>
        <w:rPr>
          <w:rFonts w:ascii="Arial" w:eastAsia="Arial" w:hAnsi="Arial" w:cs="Arial"/>
          <w:sz w:val="22"/>
          <w:szCs w:val="22"/>
        </w:rPr>
        <w:t>robust policy-making procedures based firmly on evidence;</w:t>
      </w:r>
    </w:p>
    <w:p w:rsidR="00BC4790" w:rsidRPr="00BC4790" w:rsidRDefault="00A84CA7" w:rsidP="00BC4790">
      <w:pPr>
        <w:pStyle w:val="ListParagraph"/>
        <w:widowControl/>
        <w:numPr>
          <w:ilvl w:val="0"/>
          <w:numId w:val="30"/>
        </w:numPr>
        <w:overflowPunct/>
        <w:autoSpaceDE/>
        <w:autoSpaceDN/>
        <w:adjustRightInd/>
        <w:spacing w:after="120"/>
        <w:ind w:firstLine="426"/>
        <w:contextualSpacing w:val="0"/>
        <w:jc w:val="both"/>
        <w:textAlignment w:val="auto"/>
        <w:rPr>
          <w:rFonts w:ascii="Arial" w:eastAsia="Arial" w:hAnsi="Arial" w:cs="Arial"/>
          <w:sz w:val="22"/>
          <w:szCs w:val="22"/>
        </w:rPr>
      </w:pPr>
      <w:r>
        <w:rPr>
          <w:rFonts w:ascii="Arial" w:eastAsia="Arial" w:hAnsi="Arial" w:cs="Arial"/>
          <w:sz w:val="22"/>
          <w:szCs w:val="22"/>
        </w:rPr>
        <w:t>full disclosure of the factual information on which policy decisions are based</w:t>
      </w:r>
      <w:r w:rsidR="007250F8">
        <w:rPr>
          <w:rFonts w:ascii="Arial" w:eastAsia="Arial" w:hAnsi="Arial" w:cs="Arial"/>
          <w:sz w:val="22"/>
          <w:szCs w:val="22"/>
        </w:rPr>
        <w:t>.</w:t>
      </w:r>
      <w:r w:rsidRPr="00BC4790">
        <w:rPr>
          <w:rFonts w:ascii="Arial" w:eastAsia="Arial" w:hAnsi="Arial" w:cs="Arial"/>
          <w:sz w:val="22"/>
          <w:szCs w:val="22"/>
        </w:rPr>
        <w:t xml:space="preserve"> </w:t>
      </w:r>
    </w:p>
    <w:p w:rsidR="00AB0F29" w:rsidRDefault="00AB0F29" w:rsidP="00BC4790">
      <w:pPr>
        <w:pStyle w:val="ListParagraph"/>
        <w:widowControl/>
        <w:overflowPunct/>
        <w:autoSpaceDE/>
        <w:autoSpaceDN/>
        <w:adjustRightInd/>
        <w:spacing w:after="120"/>
        <w:ind w:left="0"/>
        <w:jc w:val="both"/>
        <w:textAlignment w:val="auto"/>
        <w:rPr>
          <w:rFonts w:ascii="Arial" w:eastAsia="Arial" w:hAnsi="Arial" w:cs="Arial"/>
          <w:sz w:val="22"/>
          <w:szCs w:val="22"/>
        </w:rPr>
      </w:pPr>
      <w:r>
        <w:rPr>
          <w:rFonts w:ascii="Arial" w:eastAsia="Arial" w:hAnsi="Arial" w:cs="Arial"/>
          <w:sz w:val="22"/>
          <w:szCs w:val="22"/>
        </w:rPr>
        <w:t xml:space="preserve">The BGI is </w:t>
      </w:r>
      <w:r w:rsidR="00021427">
        <w:rPr>
          <w:rFonts w:ascii="Arial" w:eastAsia="Arial" w:hAnsi="Arial" w:cs="Arial"/>
          <w:sz w:val="22"/>
          <w:szCs w:val="22"/>
        </w:rPr>
        <w:t xml:space="preserve">accordingly </w:t>
      </w:r>
      <w:r>
        <w:rPr>
          <w:rFonts w:ascii="Arial" w:eastAsia="Arial" w:hAnsi="Arial" w:cs="Arial"/>
          <w:sz w:val="22"/>
          <w:szCs w:val="22"/>
        </w:rPr>
        <w:t xml:space="preserve">strongly in favour of arrangements such as those in the Freedom of Information Act that will enable the facts that were taken into account and the conclusions </w:t>
      </w:r>
      <w:r w:rsidR="000C1520">
        <w:rPr>
          <w:rFonts w:ascii="Arial" w:eastAsia="Arial" w:hAnsi="Arial" w:cs="Arial"/>
          <w:sz w:val="22"/>
          <w:szCs w:val="22"/>
        </w:rPr>
        <w:t xml:space="preserve">reached in formulating </w:t>
      </w:r>
      <w:r>
        <w:rPr>
          <w:rFonts w:ascii="Arial" w:eastAsia="Arial" w:hAnsi="Arial" w:cs="Arial"/>
          <w:sz w:val="22"/>
          <w:szCs w:val="22"/>
        </w:rPr>
        <w:t>a policy decision to be thoroughly scrutinized by parliament and public.</w:t>
      </w:r>
    </w:p>
    <w:p w:rsidR="005879B1" w:rsidRDefault="005879B1" w:rsidP="005879B1">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FF571E" w:rsidRDefault="005879B1"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It is sometimes argued that the risk of having s</w:t>
      </w:r>
      <w:r w:rsidR="00FF571E">
        <w:rPr>
          <w:rFonts w:ascii="Arial" w:eastAsia="Arial" w:hAnsi="Arial" w:cs="Arial"/>
          <w:sz w:val="22"/>
          <w:szCs w:val="22"/>
        </w:rPr>
        <w:t>uch</w:t>
      </w:r>
      <w:r>
        <w:rPr>
          <w:rFonts w:ascii="Arial" w:eastAsia="Arial" w:hAnsi="Arial" w:cs="Arial"/>
          <w:sz w:val="22"/>
          <w:szCs w:val="22"/>
        </w:rPr>
        <w:t xml:space="preserve"> information made public will severely limit the preparedness of civil servants to give frank advice to ministers and </w:t>
      </w:r>
      <w:r w:rsidR="005C597E">
        <w:rPr>
          <w:rFonts w:ascii="Arial" w:eastAsia="Arial" w:hAnsi="Arial" w:cs="Arial"/>
          <w:sz w:val="22"/>
          <w:szCs w:val="22"/>
        </w:rPr>
        <w:t xml:space="preserve">to provide a clear record of </w:t>
      </w:r>
      <w:r w:rsidR="00386928">
        <w:rPr>
          <w:rFonts w:ascii="Arial" w:eastAsia="Arial" w:hAnsi="Arial" w:cs="Arial"/>
          <w:sz w:val="22"/>
          <w:szCs w:val="22"/>
        </w:rPr>
        <w:t xml:space="preserve">the process of deliberation and the </w:t>
      </w:r>
      <w:r w:rsidR="005C597E">
        <w:rPr>
          <w:rFonts w:ascii="Arial" w:eastAsia="Arial" w:hAnsi="Arial" w:cs="Arial"/>
          <w:sz w:val="22"/>
          <w:szCs w:val="22"/>
        </w:rPr>
        <w:t xml:space="preserve">decisions taken. Although we recognise that such problems </w:t>
      </w:r>
      <w:r w:rsidR="00386928">
        <w:rPr>
          <w:rFonts w:ascii="Arial" w:eastAsia="Arial" w:hAnsi="Arial" w:cs="Arial"/>
          <w:sz w:val="22"/>
          <w:szCs w:val="22"/>
        </w:rPr>
        <w:t>could arise</w:t>
      </w:r>
      <w:r w:rsidR="005C597E">
        <w:rPr>
          <w:rFonts w:ascii="Arial" w:eastAsia="Arial" w:hAnsi="Arial" w:cs="Arial"/>
          <w:sz w:val="22"/>
          <w:szCs w:val="22"/>
        </w:rPr>
        <w:t xml:space="preserve">, we believe that the dangers are overstated. Well before the introduction of the Freedom of Information Act there were occasional “leaks” of sensitive information and civil servants have </w:t>
      </w:r>
      <w:r w:rsidR="00FF571E">
        <w:rPr>
          <w:rFonts w:ascii="Arial" w:eastAsia="Arial" w:hAnsi="Arial" w:cs="Arial"/>
          <w:sz w:val="22"/>
          <w:szCs w:val="22"/>
        </w:rPr>
        <w:t xml:space="preserve">long </w:t>
      </w:r>
      <w:r w:rsidR="005C597E">
        <w:rPr>
          <w:rFonts w:ascii="Arial" w:eastAsia="Arial" w:hAnsi="Arial" w:cs="Arial"/>
          <w:sz w:val="22"/>
          <w:szCs w:val="22"/>
        </w:rPr>
        <w:t>been accustomed to framing their advice in terms that would not be open to misrepresentation if made public.</w:t>
      </w:r>
      <w:r w:rsidR="0007759C">
        <w:rPr>
          <w:rFonts w:ascii="Arial" w:eastAsia="Arial" w:hAnsi="Arial" w:cs="Arial"/>
          <w:sz w:val="22"/>
          <w:szCs w:val="22"/>
        </w:rPr>
        <w:t xml:space="preserve"> Similarly they are fully seized of the need to ensure that there is an effective audit trail when </w:t>
      </w:r>
      <w:r w:rsidR="00195671">
        <w:rPr>
          <w:rFonts w:ascii="Arial" w:eastAsia="Arial" w:hAnsi="Arial" w:cs="Arial"/>
          <w:sz w:val="22"/>
          <w:szCs w:val="22"/>
        </w:rPr>
        <w:t xml:space="preserve">government </w:t>
      </w:r>
      <w:r w:rsidR="0007759C">
        <w:rPr>
          <w:rFonts w:ascii="Arial" w:eastAsia="Arial" w:hAnsi="Arial" w:cs="Arial"/>
          <w:sz w:val="22"/>
          <w:szCs w:val="22"/>
        </w:rPr>
        <w:t>decisions, particularly those with financial consequences, are taken.</w:t>
      </w:r>
    </w:p>
    <w:p w:rsidR="00FF571E" w:rsidRDefault="00FF571E" w:rsidP="00FF571E">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344DD6" w:rsidRDefault="00FF571E"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 xml:space="preserve">There are however practical limitations on the speed and detail of the release of information. Any decision-making process is necessarily iterative as </w:t>
      </w:r>
      <w:r w:rsidR="00344DD6">
        <w:rPr>
          <w:rFonts w:ascii="Arial" w:eastAsia="Arial" w:hAnsi="Arial" w:cs="Arial"/>
          <w:sz w:val="22"/>
          <w:szCs w:val="22"/>
        </w:rPr>
        <w:t>the facts are</w:t>
      </w:r>
      <w:r>
        <w:rPr>
          <w:rFonts w:ascii="Arial" w:eastAsia="Arial" w:hAnsi="Arial" w:cs="Arial"/>
          <w:sz w:val="22"/>
          <w:szCs w:val="22"/>
        </w:rPr>
        <w:t xml:space="preserve"> assembled and examined, alternatives are considered and whittled down</w:t>
      </w:r>
      <w:r w:rsidR="00386928">
        <w:rPr>
          <w:rFonts w:ascii="Arial" w:eastAsia="Arial" w:hAnsi="Arial" w:cs="Arial"/>
          <w:sz w:val="22"/>
          <w:szCs w:val="22"/>
        </w:rPr>
        <w:t>,</w:t>
      </w:r>
      <w:r>
        <w:rPr>
          <w:rFonts w:ascii="Arial" w:eastAsia="Arial" w:hAnsi="Arial" w:cs="Arial"/>
          <w:sz w:val="22"/>
          <w:szCs w:val="22"/>
        </w:rPr>
        <w:t xml:space="preserve"> and a final choice is refined and developed. Publication at any of these intermediate stages </w:t>
      </w:r>
      <w:r w:rsidR="00344DD6">
        <w:rPr>
          <w:rFonts w:ascii="Arial" w:eastAsia="Arial" w:hAnsi="Arial" w:cs="Arial"/>
          <w:sz w:val="22"/>
          <w:szCs w:val="22"/>
        </w:rPr>
        <w:t xml:space="preserve">might give a wholly false impression and result in a political outcry that would </w:t>
      </w:r>
      <w:r w:rsidR="00275178">
        <w:rPr>
          <w:rFonts w:ascii="Arial" w:eastAsia="Arial" w:hAnsi="Arial" w:cs="Arial"/>
          <w:sz w:val="22"/>
          <w:szCs w:val="22"/>
        </w:rPr>
        <w:t>cause</w:t>
      </w:r>
      <w:r w:rsidR="00344DD6">
        <w:rPr>
          <w:rFonts w:ascii="Arial" w:eastAsia="Arial" w:hAnsi="Arial" w:cs="Arial"/>
          <w:sz w:val="22"/>
          <w:szCs w:val="22"/>
        </w:rPr>
        <w:t xml:space="preserve"> what might otherwise have been a sensible and beneficial policy to be blown off course.</w:t>
      </w:r>
    </w:p>
    <w:p w:rsidR="00344DD6" w:rsidRDefault="00344DD6" w:rsidP="00344DD6">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FF571E" w:rsidRDefault="00195671"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 xml:space="preserve">The </w:t>
      </w:r>
      <w:r w:rsidR="007250F8">
        <w:rPr>
          <w:rFonts w:ascii="Arial" w:eastAsia="Arial" w:hAnsi="Arial" w:cs="Arial"/>
          <w:sz w:val="22"/>
          <w:szCs w:val="22"/>
        </w:rPr>
        <w:t>problem is</w:t>
      </w:r>
      <w:r>
        <w:rPr>
          <w:rFonts w:ascii="Arial" w:eastAsia="Arial" w:hAnsi="Arial" w:cs="Arial"/>
          <w:sz w:val="22"/>
          <w:szCs w:val="22"/>
        </w:rPr>
        <w:t xml:space="preserve"> perhaps particularly acute when risk analysis is involved. </w:t>
      </w:r>
      <w:r w:rsidR="0061356A">
        <w:rPr>
          <w:rFonts w:ascii="Arial" w:eastAsia="Arial" w:hAnsi="Arial" w:cs="Arial"/>
          <w:sz w:val="22"/>
          <w:szCs w:val="22"/>
        </w:rPr>
        <w:t xml:space="preserve">Comprehensive assessment of risk necessarily involves consideration of a wide range of possibilities. At the extremes some of them will have a very low probability of occurring but very serious consequences if they do occur. If these are misrepresented as a likely outcome the whole risk/reward balance of the policy will be undermined. </w:t>
      </w:r>
    </w:p>
    <w:p w:rsidR="007250F8" w:rsidRDefault="007250F8" w:rsidP="007250F8">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7250F8" w:rsidRDefault="007250F8"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 xml:space="preserve">A further concern of the BGI is </w:t>
      </w:r>
      <w:r w:rsidR="00BC4790">
        <w:rPr>
          <w:rFonts w:ascii="Arial" w:eastAsia="Arial" w:hAnsi="Arial" w:cs="Arial"/>
          <w:sz w:val="22"/>
          <w:szCs w:val="22"/>
        </w:rPr>
        <w:t>that</w:t>
      </w:r>
      <w:r>
        <w:rPr>
          <w:rFonts w:ascii="Arial" w:eastAsia="Arial" w:hAnsi="Arial" w:cs="Arial"/>
          <w:sz w:val="22"/>
          <w:szCs w:val="22"/>
        </w:rPr>
        <w:t xml:space="preserve"> the civil service </w:t>
      </w:r>
      <w:r w:rsidR="004668FF">
        <w:rPr>
          <w:rFonts w:ascii="Arial" w:eastAsia="Arial" w:hAnsi="Arial" w:cs="Arial"/>
          <w:sz w:val="22"/>
          <w:szCs w:val="22"/>
        </w:rPr>
        <w:t>sh</w:t>
      </w:r>
      <w:r>
        <w:rPr>
          <w:rFonts w:ascii="Arial" w:eastAsia="Arial" w:hAnsi="Arial" w:cs="Arial"/>
          <w:sz w:val="22"/>
          <w:szCs w:val="22"/>
        </w:rPr>
        <w:t xml:space="preserve">ould continue to be able to provide a source of </w:t>
      </w:r>
      <w:r w:rsidR="004668FF">
        <w:rPr>
          <w:rFonts w:ascii="Arial" w:eastAsia="Arial" w:hAnsi="Arial" w:cs="Arial"/>
          <w:sz w:val="22"/>
          <w:szCs w:val="22"/>
        </w:rPr>
        <w:t xml:space="preserve">expert </w:t>
      </w:r>
      <w:r>
        <w:rPr>
          <w:rFonts w:ascii="Arial" w:eastAsia="Arial" w:hAnsi="Arial" w:cs="Arial"/>
          <w:sz w:val="22"/>
          <w:szCs w:val="22"/>
        </w:rPr>
        <w:t xml:space="preserve">disinterested and impartial advice to </w:t>
      </w:r>
      <w:r w:rsidR="00BC4790">
        <w:rPr>
          <w:rFonts w:ascii="Arial" w:eastAsia="Arial" w:hAnsi="Arial" w:cs="Arial"/>
          <w:sz w:val="22"/>
          <w:szCs w:val="22"/>
        </w:rPr>
        <w:t xml:space="preserve">governments of different political persuasions. This too has implications for the timing of the release of information. </w:t>
      </w:r>
      <w:r w:rsidR="00BC4790">
        <w:rPr>
          <w:rFonts w:ascii="Arial" w:eastAsia="Arial" w:hAnsi="Arial" w:cs="Arial"/>
          <w:sz w:val="22"/>
          <w:szCs w:val="22"/>
        </w:rPr>
        <w:lastRenderedPageBreak/>
        <w:t>The civil service work</w:t>
      </w:r>
      <w:r w:rsidR="0068380D">
        <w:rPr>
          <w:rFonts w:ascii="Arial" w:eastAsia="Arial" w:hAnsi="Arial" w:cs="Arial"/>
          <w:sz w:val="22"/>
          <w:szCs w:val="22"/>
        </w:rPr>
        <w:t>s</w:t>
      </w:r>
      <w:r w:rsidR="00BC4790">
        <w:rPr>
          <w:rFonts w:ascii="Arial" w:eastAsia="Arial" w:hAnsi="Arial" w:cs="Arial"/>
          <w:sz w:val="22"/>
          <w:szCs w:val="22"/>
        </w:rPr>
        <w:t xml:space="preserve"> assiduously to support the policies of a governing party until shortly before the next general election. If recent advice provided to </w:t>
      </w:r>
      <w:r w:rsidR="000C1520">
        <w:rPr>
          <w:rFonts w:ascii="Arial" w:eastAsia="Arial" w:hAnsi="Arial" w:cs="Arial"/>
          <w:sz w:val="22"/>
          <w:szCs w:val="22"/>
        </w:rPr>
        <w:t xml:space="preserve">a </w:t>
      </w:r>
      <w:r w:rsidR="00BC4790">
        <w:rPr>
          <w:rFonts w:ascii="Arial" w:eastAsia="Arial" w:hAnsi="Arial" w:cs="Arial"/>
          <w:sz w:val="22"/>
          <w:szCs w:val="22"/>
        </w:rPr>
        <w:t>previous administration were immediately available to a new government of a</w:t>
      </w:r>
      <w:r w:rsidR="0068380D">
        <w:rPr>
          <w:rFonts w:ascii="Arial" w:eastAsia="Arial" w:hAnsi="Arial" w:cs="Arial"/>
          <w:sz w:val="22"/>
          <w:szCs w:val="22"/>
        </w:rPr>
        <w:t>nother</w:t>
      </w:r>
      <w:r w:rsidR="00BC4790">
        <w:rPr>
          <w:rFonts w:ascii="Arial" w:eastAsia="Arial" w:hAnsi="Arial" w:cs="Arial"/>
          <w:sz w:val="22"/>
          <w:szCs w:val="22"/>
        </w:rPr>
        <w:t xml:space="preserve"> party it would </w:t>
      </w:r>
      <w:r w:rsidR="004668FF">
        <w:rPr>
          <w:rFonts w:ascii="Arial" w:eastAsia="Arial" w:hAnsi="Arial" w:cs="Arial"/>
          <w:sz w:val="22"/>
          <w:szCs w:val="22"/>
        </w:rPr>
        <w:t>perhaps give a false impression of the willingness of the</w:t>
      </w:r>
      <w:r w:rsidR="00275178">
        <w:rPr>
          <w:rFonts w:ascii="Arial" w:eastAsia="Arial" w:hAnsi="Arial" w:cs="Arial"/>
          <w:sz w:val="22"/>
          <w:szCs w:val="22"/>
        </w:rPr>
        <w:t xml:space="preserve"> </w:t>
      </w:r>
      <w:r w:rsidR="004668FF">
        <w:rPr>
          <w:rFonts w:ascii="Arial" w:eastAsia="Arial" w:hAnsi="Arial" w:cs="Arial"/>
          <w:sz w:val="22"/>
          <w:szCs w:val="22"/>
        </w:rPr>
        <w:t>civil serv</w:t>
      </w:r>
      <w:r w:rsidR="00275178">
        <w:rPr>
          <w:rFonts w:ascii="Arial" w:eastAsia="Arial" w:hAnsi="Arial" w:cs="Arial"/>
          <w:sz w:val="22"/>
          <w:szCs w:val="22"/>
        </w:rPr>
        <w:t>ice</w:t>
      </w:r>
      <w:r w:rsidR="004668FF">
        <w:rPr>
          <w:rFonts w:ascii="Arial" w:eastAsia="Arial" w:hAnsi="Arial" w:cs="Arial"/>
          <w:sz w:val="22"/>
          <w:szCs w:val="22"/>
        </w:rPr>
        <w:t xml:space="preserve"> to support a </w:t>
      </w:r>
      <w:r w:rsidR="0068380D">
        <w:rPr>
          <w:rFonts w:ascii="Arial" w:eastAsia="Arial" w:hAnsi="Arial" w:cs="Arial"/>
          <w:sz w:val="22"/>
          <w:szCs w:val="22"/>
        </w:rPr>
        <w:t>different</w:t>
      </w:r>
      <w:r w:rsidR="004668FF">
        <w:rPr>
          <w:rFonts w:ascii="Arial" w:eastAsia="Arial" w:hAnsi="Arial" w:cs="Arial"/>
          <w:sz w:val="22"/>
          <w:szCs w:val="22"/>
        </w:rPr>
        <w:t xml:space="preserve"> policy direction. The problem would be much reduced when time had passed and they were able to make their own judgement of the capacity of their civil servants.</w:t>
      </w:r>
    </w:p>
    <w:p w:rsidR="00275178" w:rsidRDefault="00275178" w:rsidP="00275178">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CC1DCF" w:rsidRDefault="00275178"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 xml:space="preserve">For all these reasons the drafting of the original Freedom of Information Act sought to provide a “safe space” within which advice to ministers from their civil servants could remain confidential until an appropriate period of time had passed. Experience has shown, however, that this has not been achieved. </w:t>
      </w:r>
      <w:r w:rsidR="00CC1DCF">
        <w:rPr>
          <w:rFonts w:ascii="Arial" w:eastAsia="Arial" w:hAnsi="Arial" w:cs="Arial"/>
          <w:sz w:val="22"/>
          <w:szCs w:val="22"/>
        </w:rPr>
        <w:t>J</w:t>
      </w:r>
      <w:r>
        <w:rPr>
          <w:rFonts w:ascii="Arial" w:eastAsia="Arial" w:hAnsi="Arial" w:cs="Arial"/>
          <w:sz w:val="22"/>
          <w:szCs w:val="22"/>
        </w:rPr>
        <w:t xml:space="preserve">udicial examination has </w:t>
      </w:r>
      <w:r w:rsidR="0090552E">
        <w:rPr>
          <w:rFonts w:ascii="Arial" w:eastAsia="Arial" w:hAnsi="Arial" w:cs="Arial"/>
          <w:sz w:val="22"/>
          <w:szCs w:val="22"/>
        </w:rPr>
        <w:t>revealed that</w:t>
      </w:r>
      <w:r>
        <w:rPr>
          <w:rFonts w:ascii="Arial" w:eastAsia="Arial" w:hAnsi="Arial" w:cs="Arial"/>
          <w:sz w:val="22"/>
          <w:szCs w:val="22"/>
        </w:rPr>
        <w:t xml:space="preserve"> th</w:t>
      </w:r>
      <w:r w:rsidR="003607EE">
        <w:rPr>
          <w:rFonts w:ascii="Arial" w:eastAsia="Arial" w:hAnsi="Arial" w:cs="Arial"/>
          <w:sz w:val="22"/>
          <w:szCs w:val="22"/>
        </w:rPr>
        <w:t>e</w:t>
      </w:r>
      <w:r>
        <w:rPr>
          <w:rFonts w:ascii="Arial" w:eastAsia="Arial" w:hAnsi="Arial" w:cs="Arial"/>
          <w:sz w:val="22"/>
          <w:szCs w:val="22"/>
        </w:rPr>
        <w:t xml:space="preserve"> “safe space” </w:t>
      </w:r>
      <w:r w:rsidR="000C1520">
        <w:rPr>
          <w:rFonts w:ascii="Arial" w:eastAsia="Arial" w:hAnsi="Arial" w:cs="Arial"/>
          <w:sz w:val="22"/>
          <w:szCs w:val="22"/>
        </w:rPr>
        <w:t>is</w:t>
      </w:r>
      <w:r>
        <w:rPr>
          <w:rFonts w:ascii="Arial" w:eastAsia="Arial" w:hAnsi="Arial" w:cs="Arial"/>
          <w:sz w:val="22"/>
          <w:szCs w:val="22"/>
        </w:rPr>
        <w:t xml:space="preserve"> far more limited that was originally intended.</w:t>
      </w:r>
    </w:p>
    <w:p w:rsidR="00CC1DCF" w:rsidRDefault="00CC1DCF" w:rsidP="00CC1DCF">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911092" w:rsidRDefault="00CC1DCF"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 xml:space="preserve">The reasons for seeking to provide a “safe space” remain valid, however, and the Act should be amended to restore the pattern of protection of information originally envisaged. But </w:t>
      </w:r>
      <w:r w:rsidR="00911092">
        <w:rPr>
          <w:rFonts w:ascii="Arial" w:eastAsia="Arial" w:hAnsi="Arial" w:cs="Arial"/>
          <w:sz w:val="22"/>
          <w:szCs w:val="22"/>
        </w:rPr>
        <w:t xml:space="preserve">in the interests of transparency </w:t>
      </w:r>
      <w:r>
        <w:rPr>
          <w:rFonts w:ascii="Arial" w:eastAsia="Arial" w:hAnsi="Arial" w:cs="Arial"/>
          <w:sz w:val="22"/>
          <w:szCs w:val="22"/>
        </w:rPr>
        <w:t xml:space="preserve">the degree of protection should be limited to what is </w:t>
      </w:r>
      <w:r w:rsidR="0068380D">
        <w:rPr>
          <w:rFonts w:ascii="Arial" w:eastAsia="Arial" w:hAnsi="Arial" w:cs="Arial"/>
          <w:sz w:val="22"/>
          <w:szCs w:val="22"/>
        </w:rPr>
        <w:t>strictly necessary</w:t>
      </w:r>
      <w:r>
        <w:rPr>
          <w:rFonts w:ascii="Arial" w:eastAsia="Arial" w:hAnsi="Arial" w:cs="Arial"/>
          <w:sz w:val="22"/>
          <w:szCs w:val="22"/>
        </w:rPr>
        <w:t xml:space="preserve"> to preserve the functioning of the “safe space”. </w:t>
      </w:r>
    </w:p>
    <w:p w:rsidR="00911092" w:rsidRDefault="00911092" w:rsidP="00911092">
      <w:pPr>
        <w:pStyle w:val="ListParagraph"/>
        <w:widowControl/>
        <w:overflowPunct/>
        <w:autoSpaceDE/>
        <w:autoSpaceDN/>
        <w:adjustRightInd/>
        <w:spacing w:after="120"/>
        <w:ind w:left="0"/>
        <w:jc w:val="both"/>
        <w:textAlignment w:val="auto"/>
        <w:rPr>
          <w:rFonts w:ascii="Arial" w:eastAsia="Arial" w:hAnsi="Arial" w:cs="Arial"/>
          <w:sz w:val="22"/>
          <w:szCs w:val="22"/>
        </w:rPr>
      </w:pPr>
    </w:p>
    <w:p w:rsidR="00911092" w:rsidRDefault="00CC1DCF"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u w:val="single"/>
        </w:rPr>
      </w:pPr>
      <w:r w:rsidRPr="00B632C2">
        <w:rPr>
          <w:rFonts w:ascii="Arial" w:eastAsia="Arial" w:hAnsi="Arial" w:cs="Arial"/>
          <w:sz w:val="22"/>
          <w:szCs w:val="22"/>
        </w:rPr>
        <w:t xml:space="preserve"> </w:t>
      </w:r>
      <w:r w:rsidRPr="00D66A7F">
        <w:rPr>
          <w:rFonts w:ascii="Arial" w:eastAsia="Arial" w:hAnsi="Arial" w:cs="Arial"/>
          <w:sz w:val="22"/>
          <w:szCs w:val="22"/>
          <w:u w:val="single"/>
        </w:rPr>
        <w:t>We recommend that all factual information</w:t>
      </w:r>
      <w:r w:rsidR="00B632C2" w:rsidRPr="00D66A7F">
        <w:rPr>
          <w:rFonts w:ascii="Arial" w:eastAsia="Arial" w:hAnsi="Arial" w:cs="Arial"/>
          <w:sz w:val="22"/>
          <w:szCs w:val="22"/>
          <w:u w:val="single"/>
        </w:rPr>
        <w:t xml:space="preserve">, </w:t>
      </w:r>
      <w:r w:rsidR="00B632C2" w:rsidRPr="00D66A7F">
        <w:rPr>
          <w:rFonts w:ascii="Arial" w:hAnsi="Arial" w:cs="Arial"/>
          <w:sz w:val="22"/>
          <w:szCs w:val="22"/>
          <w:u w:val="single"/>
        </w:rPr>
        <w:t>including the obligatory regulatory impact assessments and other relevant benefit/cost analysis</w:t>
      </w:r>
      <w:r w:rsidRPr="00D66A7F">
        <w:rPr>
          <w:rFonts w:ascii="Arial" w:eastAsia="Arial" w:hAnsi="Arial" w:cs="Arial"/>
          <w:sz w:val="22"/>
          <w:szCs w:val="22"/>
          <w:u w:val="single"/>
        </w:rPr>
        <w:t>, that has played a part in the development of policy</w:t>
      </w:r>
      <w:r w:rsidR="00911092" w:rsidRPr="00D66A7F">
        <w:rPr>
          <w:rFonts w:ascii="Arial" w:eastAsia="Arial" w:hAnsi="Arial" w:cs="Arial"/>
          <w:sz w:val="22"/>
          <w:szCs w:val="22"/>
          <w:u w:val="single"/>
        </w:rPr>
        <w:t xml:space="preserve"> should be made available as soon as the policy is announced. Material relating to the deliberative process itself should remain protected for longer but a period of twenty years seems excessive, going far beyond the duration of a single Parliament. We would invite the Commission to consider </w:t>
      </w:r>
      <w:r w:rsidR="00D66E0D" w:rsidRPr="00D66A7F">
        <w:rPr>
          <w:rFonts w:ascii="Arial" w:eastAsia="Arial" w:hAnsi="Arial" w:cs="Arial"/>
          <w:sz w:val="22"/>
          <w:szCs w:val="22"/>
          <w:u w:val="single"/>
        </w:rPr>
        <w:t>whether a</w:t>
      </w:r>
      <w:r w:rsidR="00911092" w:rsidRPr="00D66A7F">
        <w:rPr>
          <w:rFonts w:ascii="Arial" w:eastAsia="Arial" w:hAnsi="Arial" w:cs="Arial"/>
          <w:sz w:val="22"/>
          <w:szCs w:val="22"/>
          <w:u w:val="single"/>
        </w:rPr>
        <w:t xml:space="preserve"> period of five or perhaps six years would be sufficient.</w:t>
      </w:r>
    </w:p>
    <w:p w:rsidR="00D66A7F" w:rsidRDefault="00D66A7F" w:rsidP="00D66A7F">
      <w:pPr>
        <w:pStyle w:val="ListParagraph"/>
        <w:widowControl/>
        <w:overflowPunct/>
        <w:autoSpaceDE/>
        <w:autoSpaceDN/>
        <w:adjustRightInd/>
        <w:spacing w:after="120"/>
        <w:ind w:left="0"/>
        <w:jc w:val="both"/>
        <w:textAlignment w:val="auto"/>
        <w:rPr>
          <w:rFonts w:ascii="Arial" w:eastAsia="Arial" w:hAnsi="Arial" w:cs="Arial"/>
          <w:sz w:val="22"/>
          <w:szCs w:val="22"/>
          <w:u w:val="single"/>
        </w:rPr>
      </w:pPr>
    </w:p>
    <w:p w:rsidR="00D66A7F" w:rsidRPr="00D66A7F" w:rsidRDefault="00D66A7F" w:rsidP="00FF571E">
      <w:pPr>
        <w:pStyle w:val="ListParagraph"/>
        <w:widowControl/>
        <w:numPr>
          <w:ilvl w:val="0"/>
          <w:numId w:val="29"/>
        </w:numPr>
        <w:overflowPunct/>
        <w:autoSpaceDE/>
        <w:autoSpaceDN/>
        <w:adjustRightInd/>
        <w:spacing w:after="120"/>
        <w:jc w:val="both"/>
        <w:textAlignment w:val="auto"/>
        <w:rPr>
          <w:rFonts w:ascii="Arial" w:eastAsia="Arial" w:hAnsi="Arial" w:cs="Arial"/>
          <w:sz w:val="22"/>
          <w:szCs w:val="22"/>
        </w:rPr>
      </w:pPr>
      <w:r w:rsidRPr="00D66A7F">
        <w:rPr>
          <w:rFonts w:ascii="Arial" w:eastAsia="Arial" w:hAnsi="Arial" w:cs="Arial"/>
          <w:sz w:val="22"/>
          <w:szCs w:val="22"/>
        </w:rPr>
        <w:t xml:space="preserve">On a somewhat different topic, we are aware that </w:t>
      </w:r>
      <w:r>
        <w:rPr>
          <w:rFonts w:ascii="Arial" w:eastAsia="Arial" w:hAnsi="Arial" w:cs="Arial"/>
          <w:sz w:val="22"/>
          <w:szCs w:val="22"/>
        </w:rPr>
        <w:t xml:space="preserve">there have been cases where the Act’s provisions have been exploited </w:t>
      </w:r>
      <w:r w:rsidR="00162FDB">
        <w:rPr>
          <w:rFonts w:ascii="Arial" w:eastAsia="Arial" w:hAnsi="Arial" w:cs="Arial"/>
          <w:sz w:val="22"/>
          <w:szCs w:val="22"/>
        </w:rPr>
        <w:t xml:space="preserve">with no clear public interest justification </w:t>
      </w:r>
      <w:r>
        <w:rPr>
          <w:rFonts w:ascii="Arial" w:eastAsia="Arial" w:hAnsi="Arial" w:cs="Arial"/>
          <w:sz w:val="22"/>
          <w:szCs w:val="22"/>
        </w:rPr>
        <w:t>in an endeavour to acquire a commercial advantage</w:t>
      </w:r>
      <w:r w:rsidR="00162FDB">
        <w:rPr>
          <w:rFonts w:ascii="Arial" w:eastAsia="Arial" w:hAnsi="Arial" w:cs="Arial"/>
          <w:sz w:val="22"/>
          <w:szCs w:val="22"/>
        </w:rPr>
        <w:t xml:space="preserve"> by seeking market and competitor information. </w:t>
      </w:r>
      <w:r w:rsidR="00162FDB" w:rsidRPr="00162FDB">
        <w:rPr>
          <w:rFonts w:ascii="Arial" w:eastAsia="Arial" w:hAnsi="Arial" w:cs="Arial"/>
          <w:sz w:val="22"/>
          <w:szCs w:val="22"/>
          <w:u w:val="single"/>
        </w:rPr>
        <w:t>The Commission may wish to seek further information on the extent and seriousness of this practice</w:t>
      </w:r>
      <w:r w:rsidR="00162FDB">
        <w:rPr>
          <w:rFonts w:ascii="Arial" w:eastAsia="Arial" w:hAnsi="Arial" w:cs="Arial"/>
          <w:sz w:val="22"/>
          <w:szCs w:val="22"/>
        </w:rPr>
        <w:t>.</w:t>
      </w:r>
    </w:p>
    <w:p w:rsidR="00D66A7F" w:rsidRPr="00D66A7F" w:rsidRDefault="00D66A7F" w:rsidP="00D66A7F">
      <w:pPr>
        <w:widowControl/>
        <w:overflowPunct/>
        <w:autoSpaceDE/>
        <w:autoSpaceDN/>
        <w:adjustRightInd/>
        <w:spacing w:after="120"/>
        <w:jc w:val="both"/>
        <w:textAlignment w:val="auto"/>
        <w:rPr>
          <w:rFonts w:ascii="Arial" w:eastAsia="Arial" w:hAnsi="Arial" w:cs="Arial"/>
          <w:sz w:val="22"/>
          <w:szCs w:val="22"/>
          <w:u w:val="single"/>
        </w:rPr>
      </w:pPr>
    </w:p>
    <w:p w:rsidR="00911092" w:rsidRDefault="00911092" w:rsidP="00911092">
      <w:pPr>
        <w:widowControl/>
        <w:overflowPunct/>
        <w:autoSpaceDE/>
        <w:autoSpaceDN/>
        <w:adjustRightInd/>
        <w:spacing w:after="120"/>
        <w:jc w:val="both"/>
        <w:textAlignment w:val="auto"/>
        <w:rPr>
          <w:rFonts w:ascii="Arial" w:eastAsia="Arial" w:hAnsi="Arial" w:cs="Arial"/>
          <w:sz w:val="22"/>
          <w:szCs w:val="22"/>
        </w:rPr>
      </w:pPr>
    </w:p>
    <w:p w:rsidR="00911092" w:rsidRDefault="00911092" w:rsidP="00911092">
      <w:pPr>
        <w:widowControl/>
        <w:overflowPunct/>
        <w:autoSpaceDE/>
        <w:autoSpaceDN/>
        <w:adjustRightInd/>
        <w:spacing w:after="120"/>
        <w:jc w:val="both"/>
        <w:textAlignment w:val="auto"/>
        <w:rPr>
          <w:rFonts w:ascii="Arial" w:eastAsia="Arial" w:hAnsi="Arial" w:cs="Arial"/>
          <w:sz w:val="22"/>
          <w:szCs w:val="22"/>
        </w:rPr>
      </w:pPr>
    </w:p>
    <w:p w:rsidR="00911092" w:rsidRDefault="00911092" w:rsidP="00911092">
      <w:pPr>
        <w:widowControl/>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Better Government Initiative</w:t>
      </w:r>
    </w:p>
    <w:p w:rsidR="00911092" w:rsidRDefault="00911092" w:rsidP="00911092">
      <w:pPr>
        <w:widowControl/>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61 Petty France</w:t>
      </w:r>
    </w:p>
    <w:p w:rsidR="00911092" w:rsidRPr="00D66E0D" w:rsidRDefault="00911092" w:rsidP="00911092">
      <w:pPr>
        <w:widowControl/>
        <w:overflowPunct/>
        <w:autoSpaceDE/>
        <w:autoSpaceDN/>
        <w:adjustRightInd/>
        <w:spacing w:after="120"/>
        <w:jc w:val="both"/>
        <w:textAlignment w:val="auto"/>
        <w:rPr>
          <w:rFonts w:ascii="Arial" w:eastAsia="Arial" w:hAnsi="Arial" w:cs="Arial"/>
          <w:sz w:val="22"/>
          <w:szCs w:val="22"/>
        </w:rPr>
      </w:pPr>
      <w:r w:rsidRPr="00D66E0D">
        <w:rPr>
          <w:rFonts w:ascii="Arial" w:eastAsia="Arial" w:hAnsi="Arial" w:cs="Arial"/>
          <w:sz w:val="22"/>
          <w:szCs w:val="22"/>
        </w:rPr>
        <w:t xml:space="preserve">London </w:t>
      </w:r>
      <w:r w:rsidR="00D66E0D" w:rsidRPr="00D66E0D">
        <w:rPr>
          <w:rFonts w:ascii="Arial" w:hAnsi="Arial" w:cs="Arial"/>
          <w:color w:val="222222"/>
          <w:sz w:val="22"/>
          <w:szCs w:val="22"/>
          <w:shd w:val="clear" w:color="auto" w:fill="FFFFFF"/>
        </w:rPr>
        <w:t>SW1H 9EU</w:t>
      </w:r>
    </w:p>
    <w:p w:rsidR="00911092" w:rsidRDefault="00911092" w:rsidP="00911092">
      <w:pPr>
        <w:widowControl/>
        <w:overflowPunct/>
        <w:autoSpaceDE/>
        <w:autoSpaceDN/>
        <w:adjustRightInd/>
        <w:spacing w:after="120"/>
        <w:jc w:val="both"/>
        <w:textAlignment w:val="auto"/>
        <w:rPr>
          <w:rFonts w:ascii="Arial" w:eastAsia="Arial" w:hAnsi="Arial" w:cs="Arial"/>
          <w:sz w:val="22"/>
          <w:szCs w:val="22"/>
        </w:rPr>
      </w:pPr>
    </w:p>
    <w:p w:rsidR="00CC1DCF" w:rsidRPr="00911092" w:rsidRDefault="00C22C16" w:rsidP="00911092">
      <w:pPr>
        <w:widowControl/>
        <w:overflowPunct/>
        <w:autoSpaceDE/>
        <w:autoSpaceDN/>
        <w:adjustRightInd/>
        <w:spacing w:after="120"/>
        <w:jc w:val="both"/>
        <w:textAlignment w:val="auto"/>
        <w:rPr>
          <w:rFonts w:ascii="Arial" w:eastAsia="Arial" w:hAnsi="Arial" w:cs="Arial"/>
          <w:sz w:val="22"/>
          <w:szCs w:val="22"/>
        </w:rPr>
      </w:pPr>
      <w:r>
        <w:rPr>
          <w:rFonts w:ascii="Arial" w:eastAsia="Arial" w:hAnsi="Arial" w:cs="Arial"/>
          <w:sz w:val="22"/>
          <w:szCs w:val="22"/>
        </w:rPr>
        <w:t>12</w:t>
      </w:r>
      <w:r w:rsidRPr="00C22C16">
        <w:rPr>
          <w:rFonts w:ascii="Arial" w:eastAsia="Arial" w:hAnsi="Arial" w:cs="Arial"/>
          <w:sz w:val="22"/>
          <w:szCs w:val="22"/>
          <w:vertAlign w:val="superscript"/>
        </w:rPr>
        <w:t>th</w:t>
      </w:r>
      <w:r>
        <w:rPr>
          <w:rFonts w:ascii="Arial" w:eastAsia="Arial" w:hAnsi="Arial" w:cs="Arial"/>
          <w:sz w:val="22"/>
          <w:szCs w:val="22"/>
        </w:rPr>
        <w:t xml:space="preserve"> November 2015</w:t>
      </w:r>
    </w:p>
    <w:p w:rsidR="00CC1DCF" w:rsidRDefault="00CC1DCF" w:rsidP="00CC1DCF">
      <w:pPr>
        <w:widowControl/>
        <w:overflowPunct/>
        <w:autoSpaceDE/>
        <w:autoSpaceDN/>
        <w:adjustRightInd/>
        <w:spacing w:after="120"/>
        <w:jc w:val="both"/>
        <w:textAlignment w:val="auto"/>
        <w:rPr>
          <w:rFonts w:ascii="Arial" w:eastAsia="Arial" w:hAnsi="Arial" w:cs="Arial"/>
          <w:sz w:val="22"/>
          <w:szCs w:val="22"/>
        </w:rPr>
      </w:pPr>
    </w:p>
    <w:p w:rsidR="00275178" w:rsidRPr="00CC1DCF" w:rsidRDefault="00275178" w:rsidP="00CC1DCF">
      <w:pPr>
        <w:widowControl/>
        <w:overflowPunct/>
        <w:autoSpaceDE/>
        <w:autoSpaceDN/>
        <w:adjustRightInd/>
        <w:spacing w:after="120"/>
        <w:jc w:val="both"/>
        <w:textAlignment w:val="auto"/>
        <w:rPr>
          <w:rFonts w:ascii="Arial" w:eastAsia="Arial" w:hAnsi="Arial" w:cs="Arial"/>
          <w:sz w:val="22"/>
          <w:szCs w:val="22"/>
        </w:rPr>
      </w:pPr>
      <w:r w:rsidRPr="00CC1DCF">
        <w:rPr>
          <w:rFonts w:ascii="Arial" w:eastAsia="Arial" w:hAnsi="Arial" w:cs="Arial"/>
          <w:sz w:val="22"/>
          <w:szCs w:val="22"/>
        </w:rPr>
        <w:t xml:space="preserve"> </w:t>
      </w:r>
    </w:p>
    <w:p w:rsidR="00830EC6" w:rsidRDefault="00830EC6" w:rsidP="009B1020">
      <w:pPr>
        <w:tabs>
          <w:tab w:val="left" w:pos="284"/>
        </w:tabs>
        <w:jc w:val="both"/>
        <w:rPr>
          <w:rFonts w:ascii="Arial" w:hAnsi="Arial"/>
          <w:sz w:val="22"/>
          <w:szCs w:val="22"/>
        </w:rPr>
      </w:pPr>
    </w:p>
    <w:p w:rsidR="00830EC6" w:rsidRDefault="00830EC6" w:rsidP="009B1020">
      <w:pPr>
        <w:tabs>
          <w:tab w:val="left" w:pos="284"/>
        </w:tabs>
        <w:jc w:val="both"/>
        <w:rPr>
          <w:rFonts w:ascii="Arial" w:hAnsi="Arial"/>
          <w:sz w:val="22"/>
          <w:szCs w:val="22"/>
        </w:rPr>
      </w:pPr>
    </w:p>
    <w:p w:rsidR="00830EC6" w:rsidRDefault="00830EC6" w:rsidP="009B1020">
      <w:pPr>
        <w:tabs>
          <w:tab w:val="left" w:pos="284"/>
        </w:tabs>
        <w:jc w:val="both"/>
        <w:rPr>
          <w:rFonts w:ascii="Arial" w:hAnsi="Arial"/>
          <w:sz w:val="22"/>
          <w:szCs w:val="22"/>
        </w:rPr>
      </w:pPr>
      <w:bookmarkStart w:id="0" w:name="_GoBack"/>
      <w:bookmarkEnd w:id="0"/>
    </w:p>
    <w:p w:rsidR="002C32BA" w:rsidRDefault="002C32BA" w:rsidP="00F37026">
      <w:pPr>
        <w:tabs>
          <w:tab w:val="left" w:pos="284"/>
        </w:tabs>
        <w:jc w:val="both"/>
        <w:rPr>
          <w:rFonts w:ascii="Arial" w:hAnsi="Arial"/>
          <w:sz w:val="22"/>
          <w:szCs w:val="22"/>
        </w:rPr>
      </w:pPr>
    </w:p>
    <w:sectPr w:rsidR="002C32BA">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7DE" w:rsidRDefault="001457DE">
      <w:r>
        <w:separator/>
      </w:r>
    </w:p>
  </w:endnote>
  <w:endnote w:type="continuationSeparator" w:id="0">
    <w:p w:rsidR="001457DE" w:rsidRDefault="001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7DE" w:rsidRDefault="001457DE">
      <w:r>
        <w:separator/>
      </w:r>
    </w:p>
  </w:footnote>
  <w:footnote w:type="continuationSeparator" w:id="0">
    <w:p w:rsidR="001457DE" w:rsidRDefault="00145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D5B"/>
    <w:multiLevelType w:val="hybridMultilevel"/>
    <w:tmpl w:val="A5CC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B3379"/>
    <w:multiLevelType w:val="hybridMultilevel"/>
    <w:tmpl w:val="B0D0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F3F45"/>
    <w:multiLevelType w:val="hybridMultilevel"/>
    <w:tmpl w:val="FD5A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25951"/>
    <w:multiLevelType w:val="hybridMultilevel"/>
    <w:tmpl w:val="729E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93F37"/>
    <w:multiLevelType w:val="hybridMultilevel"/>
    <w:tmpl w:val="DFF0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E5179"/>
    <w:multiLevelType w:val="hybridMultilevel"/>
    <w:tmpl w:val="A746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907F5"/>
    <w:multiLevelType w:val="hybridMultilevel"/>
    <w:tmpl w:val="FD52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16549"/>
    <w:multiLevelType w:val="hybridMultilevel"/>
    <w:tmpl w:val="DF382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591265"/>
    <w:multiLevelType w:val="hybridMultilevel"/>
    <w:tmpl w:val="B284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C04F1"/>
    <w:multiLevelType w:val="hybridMultilevel"/>
    <w:tmpl w:val="8BC45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81223"/>
    <w:multiLevelType w:val="hybridMultilevel"/>
    <w:tmpl w:val="DDEC6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E3347D"/>
    <w:multiLevelType w:val="hybridMultilevel"/>
    <w:tmpl w:val="DC427CB6"/>
    <w:lvl w:ilvl="0" w:tplc="8AB4C69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1218A"/>
    <w:multiLevelType w:val="hybridMultilevel"/>
    <w:tmpl w:val="AF0C0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D55CC"/>
    <w:multiLevelType w:val="hybridMultilevel"/>
    <w:tmpl w:val="5AE8F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176DB8"/>
    <w:multiLevelType w:val="hybridMultilevel"/>
    <w:tmpl w:val="FB942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C611FC"/>
    <w:multiLevelType w:val="multilevel"/>
    <w:tmpl w:val="70D4E732"/>
    <w:styleLink w:val="List0"/>
    <w:lvl w:ilvl="0">
      <w:start w:val="1"/>
      <w:numFmt w:val="decimal"/>
      <w:lvlText w:val="%1."/>
      <w:lvlJc w:val="left"/>
      <w:pPr>
        <w:ind w:left="0" w:firstLine="0"/>
      </w:pPr>
      <w:rPr>
        <w:rFonts w:hint="default"/>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16" w15:restartNumberingAfterBreak="0">
    <w:nsid w:val="33D35C90"/>
    <w:multiLevelType w:val="hybridMultilevel"/>
    <w:tmpl w:val="AC86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6324EC"/>
    <w:multiLevelType w:val="multilevel"/>
    <w:tmpl w:val="70D4E732"/>
    <w:numStyleLink w:val="List0"/>
  </w:abstractNum>
  <w:abstractNum w:abstractNumId="18" w15:restartNumberingAfterBreak="0">
    <w:nsid w:val="3A521CC1"/>
    <w:multiLevelType w:val="hybridMultilevel"/>
    <w:tmpl w:val="8F30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E62C3"/>
    <w:multiLevelType w:val="hybridMultilevel"/>
    <w:tmpl w:val="61B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AF79AB"/>
    <w:multiLevelType w:val="hybridMultilevel"/>
    <w:tmpl w:val="CD22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E891090"/>
    <w:multiLevelType w:val="hybridMultilevel"/>
    <w:tmpl w:val="3748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566170"/>
    <w:multiLevelType w:val="hybridMultilevel"/>
    <w:tmpl w:val="03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42439C"/>
    <w:multiLevelType w:val="hybridMultilevel"/>
    <w:tmpl w:val="DC9860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4226E9"/>
    <w:multiLevelType w:val="hybridMultilevel"/>
    <w:tmpl w:val="6D1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8E27BE"/>
    <w:multiLevelType w:val="hybridMultilevel"/>
    <w:tmpl w:val="A5C8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E198A"/>
    <w:multiLevelType w:val="hybridMultilevel"/>
    <w:tmpl w:val="DAFC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247E2"/>
    <w:multiLevelType w:val="multilevel"/>
    <w:tmpl w:val="DB0AC32E"/>
    <w:lvl w:ilvl="0">
      <w:start w:val="1"/>
      <w:numFmt w:val="bullet"/>
      <w:lvlText w:val=""/>
      <w:lvlJc w:val="left"/>
      <w:pPr>
        <w:ind w:left="0" w:firstLine="0"/>
      </w:pPr>
      <w:rPr>
        <w:rFonts w:ascii="Symbol" w:hAnsi="Symbol" w:hint="default"/>
        <w:position w:val="0"/>
      </w:rPr>
    </w:lvl>
    <w:lvl w:ilvl="1">
      <w:start w:val="1"/>
      <w:numFmt w:val="lowerLetter"/>
      <w:lvlText w:val="%2."/>
      <w:lvlJc w:val="left"/>
      <w:pPr>
        <w:ind w:left="0" w:firstLine="0"/>
      </w:pPr>
      <w:rPr>
        <w:rFonts w:ascii="Arial" w:eastAsia="Arial" w:hAnsi="Arial" w:cs="Arial"/>
        <w:position w:val="0"/>
      </w:rPr>
    </w:lvl>
    <w:lvl w:ilvl="2">
      <w:start w:val="1"/>
      <w:numFmt w:val="lowerRoman"/>
      <w:lvlText w:val="%3."/>
      <w:lvlJc w:val="left"/>
      <w:pPr>
        <w:ind w:left="0" w:firstLine="0"/>
      </w:pPr>
      <w:rPr>
        <w:rFonts w:ascii="Arial" w:eastAsia="Arial" w:hAnsi="Arial" w:cs="Arial"/>
        <w:position w:val="0"/>
      </w:rPr>
    </w:lvl>
    <w:lvl w:ilvl="3">
      <w:start w:val="1"/>
      <w:numFmt w:val="decimal"/>
      <w:lvlText w:val="%4."/>
      <w:lvlJc w:val="left"/>
      <w:pPr>
        <w:ind w:left="0" w:firstLine="0"/>
      </w:pPr>
      <w:rPr>
        <w:rFonts w:ascii="Arial" w:eastAsia="Arial" w:hAnsi="Arial" w:cs="Arial"/>
        <w:position w:val="0"/>
      </w:rPr>
    </w:lvl>
    <w:lvl w:ilvl="4">
      <w:start w:val="1"/>
      <w:numFmt w:val="lowerLetter"/>
      <w:lvlText w:val="%5."/>
      <w:lvlJc w:val="left"/>
      <w:pPr>
        <w:ind w:left="0" w:firstLine="0"/>
      </w:pPr>
      <w:rPr>
        <w:rFonts w:ascii="Arial" w:eastAsia="Arial" w:hAnsi="Arial" w:cs="Arial"/>
        <w:position w:val="0"/>
      </w:rPr>
    </w:lvl>
    <w:lvl w:ilvl="5">
      <w:start w:val="1"/>
      <w:numFmt w:val="lowerRoman"/>
      <w:lvlText w:val="%6."/>
      <w:lvlJc w:val="left"/>
      <w:pPr>
        <w:ind w:left="0" w:firstLine="0"/>
      </w:pPr>
      <w:rPr>
        <w:rFonts w:ascii="Arial" w:eastAsia="Arial" w:hAnsi="Arial" w:cs="Arial"/>
        <w:position w:val="0"/>
      </w:rPr>
    </w:lvl>
    <w:lvl w:ilvl="6">
      <w:start w:val="1"/>
      <w:numFmt w:val="decimal"/>
      <w:lvlText w:val="%7."/>
      <w:lvlJc w:val="left"/>
      <w:pPr>
        <w:ind w:left="0" w:firstLine="0"/>
      </w:pPr>
      <w:rPr>
        <w:rFonts w:ascii="Arial" w:eastAsia="Arial" w:hAnsi="Arial" w:cs="Arial"/>
        <w:position w:val="0"/>
      </w:rPr>
    </w:lvl>
    <w:lvl w:ilvl="7">
      <w:start w:val="1"/>
      <w:numFmt w:val="lowerLetter"/>
      <w:lvlText w:val="%8."/>
      <w:lvlJc w:val="left"/>
      <w:pPr>
        <w:ind w:left="0" w:firstLine="0"/>
      </w:pPr>
      <w:rPr>
        <w:rFonts w:ascii="Arial" w:eastAsia="Arial" w:hAnsi="Arial" w:cs="Arial"/>
        <w:position w:val="0"/>
      </w:rPr>
    </w:lvl>
    <w:lvl w:ilvl="8">
      <w:start w:val="1"/>
      <w:numFmt w:val="lowerRoman"/>
      <w:lvlText w:val="%9."/>
      <w:lvlJc w:val="left"/>
      <w:pPr>
        <w:ind w:left="0" w:firstLine="0"/>
      </w:pPr>
      <w:rPr>
        <w:rFonts w:ascii="Arial" w:eastAsia="Arial" w:hAnsi="Arial" w:cs="Arial"/>
        <w:position w:val="0"/>
      </w:rPr>
    </w:lvl>
  </w:abstractNum>
  <w:abstractNum w:abstractNumId="30" w15:restartNumberingAfterBreak="0">
    <w:nsid w:val="7B8F7A00"/>
    <w:multiLevelType w:val="hybridMultilevel"/>
    <w:tmpl w:val="5E92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824D0"/>
    <w:multiLevelType w:val="hybridMultilevel"/>
    <w:tmpl w:val="1388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3"/>
  </w:num>
  <w:num w:numId="4">
    <w:abstractNumId w:val="22"/>
  </w:num>
  <w:num w:numId="5">
    <w:abstractNumId w:val="26"/>
  </w:num>
  <w:num w:numId="6">
    <w:abstractNumId w:val="18"/>
  </w:num>
  <w:num w:numId="7">
    <w:abstractNumId w:val="20"/>
  </w:num>
  <w:num w:numId="8">
    <w:abstractNumId w:val="5"/>
  </w:num>
  <w:num w:numId="9">
    <w:abstractNumId w:val="27"/>
  </w:num>
  <w:num w:numId="10">
    <w:abstractNumId w:val="2"/>
  </w:num>
  <w:num w:numId="11">
    <w:abstractNumId w:val="16"/>
  </w:num>
  <w:num w:numId="12">
    <w:abstractNumId w:val="30"/>
  </w:num>
  <w:num w:numId="13">
    <w:abstractNumId w:val="31"/>
  </w:num>
  <w:num w:numId="14">
    <w:abstractNumId w:val="28"/>
  </w:num>
  <w:num w:numId="15">
    <w:abstractNumId w:val="6"/>
  </w:num>
  <w:num w:numId="16">
    <w:abstractNumId w:val="19"/>
  </w:num>
  <w:num w:numId="17">
    <w:abstractNumId w:val="11"/>
  </w:num>
  <w:num w:numId="18">
    <w:abstractNumId w:val="4"/>
  </w:num>
  <w:num w:numId="19">
    <w:abstractNumId w:val="0"/>
  </w:num>
  <w:num w:numId="20">
    <w:abstractNumId w:val="8"/>
  </w:num>
  <w:num w:numId="21">
    <w:abstractNumId w:val="13"/>
  </w:num>
  <w:num w:numId="22">
    <w:abstractNumId w:val="7"/>
  </w:num>
  <w:num w:numId="23">
    <w:abstractNumId w:val="9"/>
  </w:num>
  <w:num w:numId="24">
    <w:abstractNumId w:val="12"/>
  </w:num>
  <w:num w:numId="25">
    <w:abstractNumId w:val="25"/>
  </w:num>
  <w:num w:numId="26">
    <w:abstractNumId w:val="3"/>
  </w:num>
  <w:num w:numId="27">
    <w:abstractNumId w:val="1"/>
  </w:num>
  <w:num w:numId="28">
    <w:abstractNumId w:val="15"/>
  </w:num>
  <w:num w:numId="29">
    <w:abstractNumId w:val="15"/>
  </w:num>
  <w:num w:numId="30">
    <w:abstractNumId w:val="29"/>
  </w:num>
  <w:num w:numId="31">
    <w:abstractNumId w:val="17"/>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01B85"/>
    <w:rsid w:val="000141FC"/>
    <w:rsid w:val="00021427"/>
    <w:rsid w:val="00021F2B"/>
    <w:rsid w:val="00022E9A"/>
    <w:rsid w:val="0002476D"/>
    <w:rsid w:val="00040DA8"/>
    <w:rsid w:val="0005051B"/>
    <w:rsid w:val="00052209"/>
    <w:rsid w:val="000537C4"/>
    <w:rsid w:val="00054FF4"/>
    <w:rsid w:val="00061DEA"/>
    <w:rsid w:val="00072350"/>
    <w:rsid w:val="00074455"/>
    <w:rsid w:val="0007759C"/>
    <w:rsid w:val="000831A5"/>
    <w:rsid w:val="00091320"/>
    <w:rsid w:val="00091BF5"/>
    <w:rsid w:val="000B453F"/>
    <w:rsid w:val="000C1520"/>
    <w:rsid w:val="000C7B0A"/>
    <w:rsid w:val="000D0545"/>
    <w:rsid w:val="000D5E7D"/>
    <w:rsid w:val="000D695C"/>
    <w:rsid w:val="000E6CE8"/>
    <w:rsid w:val="000E7CFD"/>
    <w:rsid w:val="000F1D64"/>
    <w:rsid w:val="00107BF9"/>
    <w:rsid w:val="00114615"/>
    <w:rsid w:val="0012693A"/>
    <w:rsid w:val="001457DE"/>
    <w:rsid w:val="00150884"/>
    <w:rsid w:val="00152DF4"/>
    <w:rsid w:val="00156AA7"/>
    <w:rsid w:val="00162FDB"/>
    <w:rsid w:val="00171528"/>
    <w:rsid w:val="001920D0"/>
    <w:rsid w:val="00195671"/>
    <w:rsid w:val="00195861"/>
    <w:rsid w:val="001959C3"/>
    <w:rsid w:val="001A373E"/>
    <w:rsid w:val="001A5DBF"/>
    <w:rsid w:val="001B565F"/>
    <w:rsid w:val="001C55DE"/>
    <w:rsid w:val="001C5CD6"/>
    <w:rsid w:val="001D38B3"/>
    <w:rsid w:val="001D509E"/>
    <w:rsid w:val="001E0855"/>
    <w:rsid w:val="001F7CD0"/>
    <w:rsid w:val="00201408"/>
    <w:rsid w:val="00204884"/>
    <w:rsid w:val="00211ADF"/>
    <w:rsid w:val="002162A1"/>
    <w:rsid w:val="00216304"/>
    <w:rsid w:val="0023633E"/>
    <w:rsid w:val="0024580F"/>
    <w:rsid w:val="00251117"/>
    <w:rsid w:val="002624A0"/>
    <w:rsid w:val="00275178"/>
    <w:rsid w:val="00286C2E"/>
    <w:rsid w:val="002A57F1"/>
    <w:rsid w:val="002B3A0C"/>
    <w:rsid w:val="002B6C36"/>
    <w:rsid w:val="002C26AE"/>
    <w:rsid w:val="002C32BA"/>
    <w:rsid w:val="002D30D6"/>
    <w:rsid w:val="002D3951"/>
    <w:rsid w:val="002E0111"/>
    <w:rsid w:val="002E71A8"/>
    <w:rsid w:val="0030123A"/>
    <w:rsid w:val="00301307"/>
    <w:rsid w:val="00301DB1"/>
    <w:rsid w:val="003069A6"/>
    <w:rsid w:val="00314416"/>
    <w:rsid w:val="00332D29"/>
    <w:rsid w:val="00344A84"/>
    <w:rsid w:val="00344DD6"/>
    <w:rsid w:val="00351749"/>
    <w:rsid w:val="0035189D"/>
    <w:rsid w:val="00356030"/>
    <w:rsid w:val="003575A2"/>
    <w:rsid w:val="003607EE"/>
    <w:rsid w:val="003654DD"/>
    <w:rsid w:val="00373DA3"/>
    <w:rsid w:val="00386928"/>
    <w:rsid w:val="00391339"/>
    <w:rsid w:val="003A4C98"/>
    <w:rsid w:val="003A7E10"/>
    <w:rsid w:val="003B4ADD"/>
    <w:rsid w:val="003C0E0C"/>
    <w:rsid w:val="003D1217"/>
    <w:rsid w:val="003D6FEB"/>
    <w:rsid w:val="003E001B"/>
    <w:rsid w:val="003E75B0"/>
    <w:rsid w:val="003F2E11"/>
    <w:rsid w:val="00401725"/>
    <w:rsid w:val="00407319"/>
    <w:rsid w:val="00411046"/>
    <w:rsid w:val="00411423"/>
    <w:rsid w:val="00415BBE"/>
    <w:rsid w:val="00417F2D"/>
    <w:rsid w:val="00421C25"/>
    <w:rsid w:val="0044596C"/>
    <w:rsid w:val="00450B7C"/>
    <w:rsid w:val="0045392A"/>
    <w:rsid w:val="004653D6"/>
    <w:rsid w:val="004668FF"/>
    <w:rsid w:val="00476E6D"/>
    <w:rsid w:val="004813BD"/>
    <w:rsid w:val="0048554C"/>
    <w:rsid w:val="00486019"/>
    <w:rsid w:val="004A17FF"/>
    <w:rsid w:val="004A4678"/>
    <w:rsid w:val="004A6498"/>
    <w:rsid w:val="004A64C6"/>
    <w:rsid w:val="004A7986"/>
    <w:rsid w:val="004B25F4"/>
    <w:rsid w:val="004C1475"/>
    <w:rsid w:val="004C3A5F"/>
    <w:rsid w:val="004D1C78"/>
    <w:rsid w:val="004D48ED"/>
    <w:rsid w:val="004D5971"/>
    <w:rsid w:val="004F0095"/>
    <w:rsid w:val="004F260D"/>
    <w:rsid w:val="004F36E2"/>
    <w:rsid w:val="00501959"/>
    <w:rsid w:val="00522553"/>
    <w:rsid w:val="00524F73"/>
    <w:rsid w:val="005254E0"/>
    <w:rsid w:val="00525A13"/>
    <w:rsid w:val="005340A5"/>
    <w:rsid w:val="0055132A"/>
    <w:rsid w:val="00552C80"/>
    <w:rsid w:val="00554BA6"/>
    <w:rsid w:val="005631FC"/>
    <w:rsid w:val="0056701A"/>
    <w:rsid w:val="00580151"/>
    <w:rsid w:val="00584DFF"/>
    <w:rsid w:val="005871FA"/>
    <w:rsid w:val="005879B1"/>
    <w:rsid w:val="00587BE3"/>
    <w:rsid w:val="00592E77"/>
    <w:rsid w:val="005935DE"/>
    <w:rsid w:val="005939C9"/>
    <w:rsid w:val="00594A9C"/>
    <w:rsid w:val="005A433A"/>
    <w:rsid w:val="005B19AB"/>
    <w:rsid w:val="005B6554"/>
    <w:rsid w:val="005C597E"/>
    <w:rsid w:val="005E1965"/>
    <w:rsid w:val="005E1FFF"/>
    <w:rsid w:val="005E23C4"/>
    <w:rsid w:val="005F2599"/>
    <w:rsid w:val="005F3911"/>
    <w:rsid w:val="005F6C18"/>
    <w:rsid w:val="00602DF6"/>
    <w:rsid w:val="00603B09"/>
    <w:rsid w:val="006046C6"/>
    <w:rsid w:val="00606AE7"/>
    <w:rsid w:val="0061356A"/>
    <w:rsid w:val="00613FA4"/>
    <w:rsid w:val="00630898"/>
    <w:rsid w:val="00632E46"/>
    <w:rsid w:val="00656054"/>
    <w:rsid w:val="00661C16"/>
    <w:rsid w:val="00663ACA"/>
    <w:rsid w:val="00664770"/>
    <w:rsid w:val="00667031"/>
    <w:rsid w:val="006670ED"/>
    <w:rsid w:val="006704DA"/>
    <w:rsid w:val="00673447"/>
    <w:rsid w:val="0068380D"/>
    <w:rsid w:val="006A6CBD"/>
    <w:rsid w:val="006C1B65"/>
    <w:rsid w:val="006C3D18"/>
    <w:rsid w:val="006D0E71"/>
    <w:rsid w:val="006E539F"/>
    <w:rsid w:val="0071094A"/>
    <w:rsid w:val="007250F8"/>
    <w:rsid w:val="00726F28"/>
    <w:rsid w:val="007301D1"/>
    <w:rsid w:val="00737B6F"/>
    <w:rsid w:val="00742F9F"/>
    <w:rsid w:val="00756618"/>
    <w:rsid w:val="007626AB"/>
    <w:rsid w:val="00763D51"/>
    <w:rsid w:val="007752FA"/>
    <w:rsid w:val="00782C4E"/>
    <w:rsid w:val="007867F3"/>
    <w:rsid w:val="00792437"/>
    <w:rsid w:val="007A7135"/>
    <w:rsid w:val="007A761D"/>
    <w:rsid w:val="007B42C1"/>
    <w:rsid w:val="007C2A71"/>
    <w:rsid w:val="007D0E87"/>
    <w:rsid w:val="008231E0"/>
    <w:rsid w:val="00823A30"/>
    <w:rsid w:val="00830EC6"/>
    <w:rsid w:val="008328AC"/>
    <w:rsid w:val="00842D76"/>
    <w:rsid w:val="00854F54"/>
    <w:rsid w:val="00857D7B"/>
    <w:rsid w:val="00857EBE"/>
    <w:rsid w:val="00860808"/>
    <w:rsid w:val="00860FB6"/>
    <w:rsid w:val="00871C8E"/>
    <w:rsid w:val="00876F9B"/>
    <w:rsid w:val="00883FDD"/>
    <w:rsid w:val="00887F5E"/>
    <w:rsid w:val="00890EF1"/>
    <w:rsid w:val="0089272A"/>
    <w:rsid w:val="008A27F5"/>
    <w:rsid w:val="008B1216"/>
    <w:rsid w:val="008B691A"/>
    <w:rsid w:val="008C6AED"/>
    <w:rsid w:val="008D5121"/>
    <w:rsid w:val="008D59DE"/>
    <w:rsid w:val="008F09F4"/>
    <w:rsid w:val="00902283"/>
    <w:rsid w:val="0090552E"/>
    <w:rsid w:val="00910914"/>
    <w:rsid w:val="00911092"/>
    <w:rsid w:val="00912432"/>
    <w:rsid w:val="0092083B"/>
    <w:rsid w:val="0092331B"/>
    <w:rsid w:val="00923AF5"/>
    <w:rsid w:val="00924AEC"/>
    <w:rsid w:val="009309BF"/>
    <w:rsid w:val="00935C1C"/>
    <w:rsid w:val="00936C46"/>
    <w:rsid w:val="0093797D"/>
    <w:rsid w:val="00940707"/>
    <w:rsid w:val="00952C18"/>
    <w:rsid w:val="00955328"/>
    <w:rsid w:val="00955CF9"/>
    <w:rsid w:val="00960B5E"/>
    <w:rsid w:val="0096436E"/>
    <w:rsid w:val="009817E8"/>
    <w:rsid w:val="0098212E"/>
    <w:rsid w:val="00994B6B"/>
    <w:rsid w:val="009A002C"/>
    <w:rsid w:val="009A0E06"/>
    <w:rsid w:val="009B1020"/>
    <w:rsid w:val="009B4845"/>
    <w:rsid w:val="009C29B7"/>
    <w:rsid w:val="009C6B82"/>
    <w:rsid w:val="009D3537"/>
    <w:rsid w:val="009D67FD"/>
    <w:rsid w:val="009F385C"/>
    <w:rsid w:val="009F5A6B"/>
    <w:rsid w:val="00A17C34"/>
    <w:rsid w:val="00A24825"/>
    <w:rsid w:val="00A4176C"/>
    <w:rsid w:val="00A43649"/>
    <w:rsid w:val="00A459A8"/>
    <w:rsid w:val="00A47EC0"/>
    <w:rsid w:val="00A5284E"/>
    <w:rsid w:val="00A53518"/>
    <w:rsid w:val="00A55176"/>
    <w:rsid w:val="00A67FAB"/>
    <w:rsid w:val="00A74CA1"/>
    <w:rsid w:val="00A75D6B"/>
    <w:rsid w:val="00A81185"/>
    <w:rsid w:val="00A84CA7"/>
    <w:rsid w:val="00A93663"/>
    <w:rsid w:val="00A9404F"/>
    <w:rsid w:val="00AA2D4A"/>
    <w:rsid w:val="00AB0F29"/>
    <w:rsid w:val="00AB2564"/>
    <w:rsid w:val="00AB3EB9"/>
    <w:rsid w:val="00AB630B"/>
    <w:rsid w:val="00AF04E7"/>
    <w:rsid w:val="00AF067D"/>
    <w:rsid w:val="00AF0A81"/>
    <w:rsid w:val="00AF32AC"/>
    <w:rsid w:val="00AF5BC6"/>
    <w:rsid w:val="00B0402B"/>
    <w:rsid w:val="00B07D87"/>
    <w:rsid w:val="00B16C44"/>
    <w:rsid w:val="00B17E7C"/>
    <w:rsid w:val="00B44530"/>
    <w:rsid w:val="00B47114"/>
    <w:rsid w:val="00B506EA"/>
    <w:rsid w:val="00B52366"/>
    <w:rsid w:val="00B6312C"/>
    <w:rsid w:val="00B632C2"/>
    <w:rsid w:val="00B669D2"/>
    <w:rsid w:val="00B67F66"/>
    <w:rsid w:val="00B704F9"/>
    <w:rsid w:val="00B80934"/>
    <w:rsid w:val="00B81F13"/>
    <w:rsid w:val="00B85CE9"/>
    <w:rsid w:val="00B96220"/>
    <w:rsid w:val="00BB56BC"/>
    <w:rsid w:val="00BC0DD7"/>
    <w:rsid w:val="00BC4790"/>
    <w:rsid w:val="00BD01BA"/>
    <w:rsid w:val="00BD0E1C"/>
    <w:rsid w:val="00BD3F57"/>
    <w:rsid w:val="00BF2FC5"/>
    <w:rsid w:val="00BF6A5C"/>
    <w:rsid w:val="00BF72BB"/>
    <w:rsid w:val="00C04DAF"/>
    <w:rsid w:val="00C109E3"/>
    <w:rsid w:val="00C13378"/>
    <w:rsid w:val="00C2174C"/>
    <w:rsid w:val="00C22C16"/>
    <w:rsid w:val="00C27E10"/>
    <w:rsid w:val="00C40B07"/>
    <w:rsid w:val="00C50E7A"/>
    <w:rsid w:val="00C524A9"/>
    <w:rsid w:val="00C52F31"/>
    <w:rsid w:val="00C55633"/>
    <w:rsid w:val="00C61F5F"/>
    <w:rsid w:val="00C65D89"/>
    <w:rsid w:val="00C83112"/>
    <w:rsid w:val="00C968BD"/>
    <w:rsid w:val="00C96C12"/>
    <w:rsid w:val="00C97559"/>
    <w:rsid w:val="00CA091D"/>
    <w:rsid w:val="00CA4443"/>
    <w:rsid w:val="00CA44F2"/>
    <w:rsid w:val="00CC1C5C"/>
    <w:rsid w:val="00CC1DCF"/>
    <w:rsid w:val="00CC5ED2"/>
    <w:rsid w:val="00CC70BE"/>
    <w:rsid w:val="00CD0422"/>
    <w:rsid w:val="00CD2690"/>
    <w:rsid w:val="00CD3FB1"/>
    <w:rsid w:val="00CD5E9F"/>
    <w:rsid w:val="00CE0CC1"/>
    <w:rsid w:val="00CE5AFC"/>
    <w:rsid w:val="00CF4077"/>
    <w:rsid w:val="00D070F9"/>
    <w:rsid w:val="00D10CC9"/>
    <w:rsid w:val="00D23D05"/>
    <w:rsid w:val="00D327F9"/>
    <w:rsid w:val="00D40507"/>
    <w:rsid w:val="00D5514E"/>
    <w:rsid w:val="00D56F0E"/>
    <w:rsid w:val="00D57D50"/>
    <w:rsid w:val="00D60C5E"/>
    <w:rsid w:val="00D6112C"/>
    <w:rsid w:val="00D62522"/>
    <w:rsid w:val="00D66A7F"/>
    <w:rsid w:val="00D66E0D"/>
    <w:rsid w:val="00D70D4C"/>
    <w:rsid w:val="00D966B3"/>
    <w:rsid w:val="00DA52DD"/>
    <w:rsid w:val="00DB0891"/>
    <w:rsid w:val="00DB1A20"/>
    <w:rsid w:val="00DB3424"/>
    <w:rsid w:val="00DC624D"/>
    <w:rsid w:val="00E03A48"/>
    <w:rsid w:val="00E1219A"/>
    <w:rsid w:val="00E12935"/>
    <w:rsid w:val="00E26C87"/>
    <w:rsid w:val="00E2790A"/>
    <w:rsid w:val="00E317B0"/>
    <w:rsid w:val="00E5458B"/>
    <w:rsid w:val="00E57B49"/>
    <w:rsid w:val="00E638B4"/>
    <w:rsid w:val="00E6454A"/>
    <w:rsid w:val="00E7011C"/>
    <w:rsid w:val="00E742CD"/>
    <w:rsid w:val="00E749FB"/>
    <w:rsid w:val="00E75CDC"/>
    <w:rsid w:val="00E85869"/>
    <w:rsid w:val="00E91EE5"/>
    <w:rsid w:val="00EB46CE"/>
    <w:rsid w:val="00EC28E5"/>
    <w:rsid w:val="00ED2E54"/>
    <w:rsid w:val="00ED3AB3"/>
    <w:rsid w:val="00ED4F2D"/>
    <w:rsid w:val="00ED54A7"/>
    <w:rsid w:val="00F060B1"/>
    <w:rsid w:val="00F15974"/>
    <w:rsid w:val="00F36C7E"/>
    <w:rsid w:val="00F37026"/>
    <w:rsid w:val="00F37CCA"/>
    <w:rsid w:val="00F45140"/>
    <w:rsid w:val="00F62EA2"/>
    <w:rsid w:val="00F644E3"/>
    <w:rsid w:val="00F7069A"/>
    <w:rsid w:val="00F766DB"/>
    <w:rsid w:val="00F90013"/>
    <w:rsid w:val="00F9477F"/>
    <w:rsid w:val="00FA0B25"/>
    <w:rsid w:val="00FA1947"/>
    <w:rsid w:val="00FA53BB"/>
    <w:rsid w:val="00FA5D19"/>
    <w:rsid w:val="00FA6AA4"/>
    <w:rsid w:val="00FB1D2A"/>
    <w:rsid w:val="00FD00BA"/>
    <w:rsid w:val="00FD2615"/>
    <w:rsid w:val="00FD6C3B"/>
    <w:rsid w:val="00FE24D1"/>
    <w:rsid w:val="00FF3562"/>
    <w:rsid w:val="00FF382B"/>
    <w:rsid w:val="00FF57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B091ACC-4E05-41B8-AECD-6E3C9E05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1C78"/>
    <w:pPr>
      <w:ind w:left="720"/>
      <w:contextualSpacing/>
    </w:pPr>
  </w:style>
  <w:style w:type="character" w:styleId="Hyperlink">
    <w:name w:val="Hyperlink"/>
    <w:basedOn w:val="DefaultParagraphFont"/>
    <w:uiPriority w:val="99"/>
    <w:semiHidden/>
    <w:unhideWhenUsed/>
    <w:rsid w:val="005F2599"/>
    <w:rPr>
      <w:color w:val="0000FF" w:themeColor="hyperlink"/>
      <w:u w:val="single"/>
    </w:rPr>
  </w:style>
  <w:style w:type="paragraph" w:customStyle="1" w:styleId="ColorfulList-Accent11">
    <w:name w:val="Colorful List - Accent 11"/>
    <w:rsid w:val="003575A2"/>
    <w:pPr>
      <w:widowControl w:val="0"/>
      <w:pBdr>
        <w:top w:val="nil"/>
        <w:left w:val="nil"/>
        <w:bottom w:val="nil"/>
        <w:right w:val="nil"/>
        <w:between w:val="nil"/>
        <w:bar w:val="nil"/>
      </w:pBdr>
      <w:ind w:left="720"/>
    </w:pPr>
    <w:rPr>
      <w:color w:val="000000"/>
      <w:kern w:val="28"/>
      <w:u w:color="000000"/>
      <w:bdr w:val="nil"/>
      <w:lang w:val="en-US" w:eastAsia="en-GB"/>
    </w:rPr>
  </w:style>
  <w:style w:type="paragraph" w:customStyle="1" w:styleId="Body">
    <w:name w:val="Body"/>
    <w:rsid w:val="00902283"/>
    <w:pPr>
      <w:pBdr>
        <w:top w:val="nil"/>
        <w:left w:val="nil"/>
        <w:bottom w:val="nil"/>
        <w:right w:val="nil"/>
        <w:between w:val="nil"/>
        <w:bar w:val="nil"/>
      </w:pBdr>
    </w:pPr>
    <w:rPr>
      <w:color w:val="000000"/>
      <w:sz w:val="24"/>
      <w:szCs w:val="24"/>
      <w:u w:color="000000"/>
      <w:bdr w:val="nil"/>
      <w:lang w:eastAsia="en-GB"/>
    </w:rPr>
  </w:style>
  <w:style w:type="paragraph" w:styleId="BalloonText">
    <w:name w:val="Balloon Text"/>
    <w:basedOn w:val="Normal"/>
    <w:link w:val="BalloonTextChar"/>
    <w:uiPriority w:val="99"/>
    <w:semiHidden/>
    <w:unhideWhenUsed/>
    <w:rsid w:val="00FD6C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C3B"/>
    <w:rPr>
      <w:rFonts w:ascii="Segoe UI" w:hAnsi="Segoe UI" w:cs="Segoe UI"/>
      <w:kern w:val="28"/>
      <w:sz w:val="18"/>
      <w:szCs w:val="18"/>
      <w:lang w:val="en-US"/>
    </w:rPr>
  </w:style>
  <w:style w:type="character" w:customStyle="1" w:styleId="Hyperlink0">
    <w:name w:val="Hyperlink.0"/>
    <w:basedOn w:val="DefaultParagraphFont"/>
    <w:rsid w:val="00830EC6"/>
    <w:rPr>
      <w:rFonts w:ascii="Arial" w:eastAsia="Arial" w:hAnsi="Arial" w:cs="Arial" w:hint="default"/>
      <w:color w:val="0000FF"/>
      <w:u w:val="single" w:color="0000FF"/>
    </w:rPr>
  </w:style>
  <w:style w:type="numbering" w:customStyle="1" w:styleId="List0">
    <w:name w:val="List 0"/>
    <w:rsid w:val="00830EC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ttergovernmentinitiativ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13</cp:revision>
  <cp:lastPrinted>2015-10-06T21:21:00Z</cp:lastPrinted>
  <dcterms:created xsi:type="dcterms:W3CDTF">2015-11-05T12:30:00Z</dcterms:created>
  <dcterms:modified xsi:type="dcterms:W3CDTF">2015-11-12T17:19:00Z</dcterms:modified>
</cp:coreProperties>
</file>